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25FFA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31BA0D0A">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4992F64C">
            <w:pPr>
              <w:pStyle w:val="18"/>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14:paraId="1894E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CCCDBFD">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8"/>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0538BFB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1021" w:hRule="exact"/>
              </w:trPr>
              <w:tc>
                <w:tcPr>
                  <w:tcW w:w="9242" w:type="dxa"/>
                  <w:vAlign w:val="center"/>
                </w:tcPr>
                <w:p w14:paraId="3A2053B9">
                  <w:pPr>
                    <w:pStyle w:val="50"/>
                    <w:framePr w:wrap="notBeside" w:vAnchor="page" w:hAnchor="page" w:x="1372" w:y="568"/>
                    <w:ind w:left="420" w:right="624"/>
                    <w:rPr>
                      <w:rFonts w:hint="eastAsia"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     </w:t>
                  </w:r>
                  <w:r>
                    <w:fldChar w:fldCharType="end"/>
                  </w:r>
                  <w:bookmarkEnd w:id="1"/>
                </w:p>
              </w:tc>
            </w:tr>
          </w:tbl>
          <w:p w14:paraId="6D20A633">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2"/>
          </w:p>
        </w:tc>
      </w:tr>
    </w:tbl>
    <w:p w14:paraId="242E0D52">
      <w:pPr>
        <w:pStyle w:val="51"/>
        <w:framePr w:w="9639" w:h="624" w:hRule="exact" w:hSpace="181" w:vSpace="181" w:wrap="around" w:hAnchor="page" w:x="1305" w:y="2269"/>
        <w:rPr>
          <w:rFonts w:hint="eastAsia"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15C1D669">
      <w:pPr>
        <w:pStyle w:val="196"/>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XXX</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14:paraId="484B48E5">
      <w:pPr>
        <w:pStyle w:val="197"/>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0B384F5D">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0A4951EB">
      <w:pPr>
        <w:pStyle w:val="51"/>
        <w:framePr w:w="9639" w:h="6976" w:hRule="exact" w:hSpace="0" w:vSpace="0" w:wrap="around" w:hAnchor="page" w:y="6408"/>
        <w:jc w:val="center"/>
        <w:rPr>
          <w:rFonts w:hint="eastAsia" w:ascii="黑体" w:hAnsi="黑体" w:eastAsia="黑体"/>
          <w:b w:val="0"/>
          <w:bCs w:val="0"/>
          <w:w w:val="100"/>
        </w:rPr>
      </w:pPr>
    </w:p>
    <w:p w14:paraId="39D86183">
      <w:pPr>
        <w:pStyle w:val="198"/>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lang w:eastAsia="zh-CN"/>
        </w:rPr>
        <w:t>北京市</w:t>
      </w:r>
      <w:r>
        <w:rPr>
          <w:rFonts w:hint="eastAsia"/>
        </w:rPr>
        <w:t>供热工程施工现场安全生产</w:t>
      </w:r>
    </w:p>
    <w:p w14:paraId="3D21C0D2">
      <w:pPr>
        <w:pStyle w:val="198"/>
        <w:framePr w:h="6974" w:hRule="exact" w:wrap="around" w:x="1419" w:anchorLock="1"/>
        <w:rPr>
          <w:rFonts w:hint="eastAsia"/>
        </w:rPr>
      </w:pPr>
      <w:r>
        <w:rPr>
          <w:rFonts w:hint="eastAsia"/>
        </w:rPr>
        <w:t>标准化管理规范</w:t>
      </w:r>
      <w:r>
        <w:fldChar w:fldCharType="end"/>
      </w:r>
      <w:bookmarkEnd w:id="9"/>
    </w:p>
    <w:p w14:paraId="52EF1726">
      <w:pPr>
        <w:framePr w:w="9639" w:h="6974" w:hRule="exact" w:wrap="around" w:vAnchor="page" w:hAnchor="page" w:x="1419" w:y="6408" w:anchorLock="1"/>
        <w:ind w:left="-1418"/>
      </w:pPr>
    </w:p>
    <w:p w14:paraId="3957E4FF">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点击此处添加标准名称的英文译名</w:t>
      </w:r>
      <w:r>
        <w:rPr>
          <w:rFonts w:eastAsia="黑体"/>
          <w:szCs w:val="28"/>
        </w:rPr>
        <w:fldChar w:fldCharType="end"/>
      </w:r>
      <w:bookmarkEnd w:id="10"/>
    </w:p>
    <w:p w14:paraId="7BF8DC75">
      <w:pPr>
        <w:framePr w:w="9639" w:h="6974" w:hRule="exact" w:wrap="around" w:vAnchor="page" w:hAnchor="page" w:x="1419" w:y="6408" w:anchorLock="1"/>
        <w:spacing w:line="760" w:lineRule="exact"/>
        <w:ind w:left="-1418"/>
      </w:pPr>
    </w:p>
    <w:p w14:paraId="152E5BD5">
      <w:pPr>
        <w:pStyle w:val="126"/>
        <w:framePr w:w="9639" w:h="6974" w:hRule="exact" w:wrap="around" w:vAnchor="page" w:hAnchor="page" w:x="1419" w:y="6408" w:anchorLock="1"/>
        <w:textAlignment w:val="bottom"/>
        <w:rPr>
          <w:rFonts w:eastAsia="黑体"/>
          <w:szCs w:val="28"/>
        </w:rPr>
      </w:pPr>
    </w:p>
    <w:p w14:paraId="2E85C070">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5C345C28">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14:paraId="5FC051B5">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700B6B29">
      <w:pPr>
        <w:pStyle w:val="194"/>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011AFF02">
      <w:pPr>
        <w:pStyle w:val="195"/>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03B58DA1">
      <w:pPr>
        <w:pStyle w:val="152"/>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     </w:t>
      </w:r>
      <w:r>
        <w:rPr>
          <w:rFonts w:hAnsi="黑体"/>
          <w:w w:val="100"/>
          <w:sz w:val="28"/>
        </w:rPr>
        <w:fldChar w:fldCharType="end"/>
      </w:r>
      <w:bookmarkEnd w:id="20"/>
      <w:r>
        <w:rPr>
          <w:rFonts w:ascii="Times New Roman"/>
          <w:w w:val="100"/>
          <w:sz w:val="28"/>
        </w:rPr>
        <w:t>  </w:t>
      </w:r>
      <w:r>
        <w:rPr>
          <w:rStyle w:val="230"/>
          <w:rFonts w:hint="eastAsia" w:hAnsi="黑体"/>
          <w:position w:val="0"/>
        </w:rPr>
        <w:t>发</w:t>
      </w:r>
      <w:r>
        <w:rPr>
          <w:rStyle w:val="230"/>
          <w:rFonts w:hint="eastAsia" w:hAnsi="黑体"/>
          <w:spacing w:val="0"/>
          <w:position w:val="0"/>
        </w:rPr>
        <w:t>布</w:t>
      </w:r>
    </w:p>
    <w:p w14:paraId="6706F8CF">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1183FFB1">
      <w:pPr>
        <w:pStyle w:val="92"/>
        <w:spacing w:after="360"/>
      </w:pPr>
      <w:bookmarkStart w:id="21" w:name="BookMark1"/>
      <w:r>
        <w:rPr>
          <w:spacing w:val="320"/>
        </w:rPr>
        <w:t>目</w:t>
      </w:r>
      <w:r>
        <w:t>次</w:t>
      </w:r>
    </w:p>
    <w:p w14:paraId="345E2CC5">
      <w:pPr>
        <w:pStyle w:val="19"/>
        <w:tabs>
          <w:tab w:val="right" w:leader="dot" w:pos="9354"/>
        </w:tabs>
      </w:pPr>
      <w:r>
        <w:fldChar w:fldCharType="begin"/>
      </w:r>
      <w:r>
        <w:instrText xml:space="preserve"> TOC \o "1-1" \h \t "标准文件_一级条标题,2,标准文件_附录一级条标题,2," </w:instrText>
      </w:r>
      <w:r>
        <w:fldChar w:fldCharType="separate"/>
      </w:r>
      <w:r>
        <w:fldChar w:fldCharType="begin"/>
      </w:r>
      <w:r>
        <w:instrText xml:space="preserve"> HYPERLINK \l _Toc21933 </w:instrText>
      </w:r>
      <w:r>
        <w:fldChar w:fldCharType="separate"/>
      </w:r>
      <w:r>
        <w:rPr>
          <w:spacing w:val="320"/>
        </w:rPr>
        <w:t>前</w:t>
      </w:r>
      <w:r>
        <w:t>言</w:t>
      </w:r>
      <w:r>
        <w:tab/>
      </w:r>
      <w:r>
        <w:fldChar w:fldCharType="begin"/>
      </w:r>
      <w:r>
        <w:instrText xml:space="preserve"> PAGEREF _Toc21933 \h </w:instrText>
      </w:r>
      <w:r>
        <w:fldChar w:fldCharType="separate"/>
      </w:r>
      <w:r>
        <w:t>III</w:t>
      </w:r>
      <w:r>
        <w:fldChar w:fldCharType="end"/>
      </w:r>
      <w:r>
        <w:fldChar w:fldCharType="end"/>
      </w:r>
    </w:p>
    <w:p w14:paraId="00111547">
      <w:pPr>
        <w:pStyle w:val="19"/>
        <w:tabs>
          <w:tab w:val="right" w:leader="dot" w:pos="9354"/>
        </w:tabs>
      </w:pPr>
      <w:r>
        <w:fldChar w:fldCharType="begin"/>
      </w:r>
      <w:r>
        <w:instrText xml:space="preserve"> HYPERLINK \l _Toc2692 </w:instrText>
      </w:r>
      <w:r>
        <w:fldChar w:fldCharType="separate"/>
      </w:r>
      <w:r>
        <w:rPr>
          <w:rFonts w:hint="eastAsia" w:ascii="黑体" w:eastAsia="黑体"/>
          <w:i w:val="0"/>
        </w:rPr>
        <w:t xml:space="preserve">1 </w:t>
      </w:r>
      <w:r>
        <w:rPr>
          <w:rFonts w:hint="eastAsia"/>
        </w:rPr>
        <w:t>范围</w:t>
      </w:r>
      <w:r>
        <w:tab/>
      </w:r>
      <w:r>
        <w:fldChar w:fldCharType="begin"/>
      </w:r>
      <w:r>
        <w:instrText xml:space="preserve"> PAGEREF _Toc2692 \h </w:instrText>
      </w:r>
      <w:r>
        <w:fldChar w:fldCharType="separate"/>
      </w:r>
      <w:r>
        <w:t>1</w:t>
      </w:r>
      <w:r>
        <w:fldChar w:fldCharType="end"/>
      </w:r>
      <w:r>
        <w:fldChar w:fldCharType="end"/>
      </w:r>
    </w:p>
    <w:p w14:paraId="0F5F9106">
      <w:pPr>
        <w:pStyle w:val="19"/>
        <w:tabs>
          <w:tab w:val="right" w:leader="dot" w:pos="9354"/>
        </w:tabs>
      </w:pPr>
      <w:r>
        <w:fldChar w:fldCharType="begin"/>
      </w:r>
      <w:r>
        <w:instrText xml:space="preserve"> HYPERLINK \l _Toc29272 </w:instrText>
      </w:r>
      <w:r>
        <w:fldChar w:fldCharType="separate"/>
      </w:r>
      <w:r>
        <w:rPr>
          <w:rFonts w:hint="eastAsia" w:ascii="黑体" w:eastAsia="黑体"/>
          <w:i w:val="0"/>
        </w:rPr>
        <w:t xml:space="preserve">2 </w:t>
      </w:r>
      <w:r>
        <w:rPr>
          <w:rFonts w:hint="eastAsia"/>
        </w:rPr>
        <w:t>规范性引用文件</w:t>
      </w:r>
      <w:r>
        <w:tab/>
      </w:r>
      <w:r>
        <w:fldChar w:fldCharType="begin"/>
      </w:r>
      <w:r>
        <w:instrText xml:space="preserve"> PAGEREF _Toc29272 \h </w:instrText>
      </w:r>
      <w:r>
        <w:fldChar w:fldCharType="separate"/>
      </w:r>
      <w:r>
        <w:t>1</w:t>
      </w:r>
      <w:r>
        <w:fldChar w:fldCharType="end"/>
      </w:r>
      <w:r>
        <w:fldChar w:fldCharType="end"/>
      </w:r>
    </w:p>
    <w:p w14:paraId="3CCED1F0">
      <w:pPr>
        <w:pStyle w:val="19"/>
        <w:tabs>
          <w:tab w:val="right" w:leader="dot" w:pos="9354"/>
        </w:tabs>
      </w:pPr>
      <w:r>
        <w:fldChar w:fldCharType="begin"/>
      </w:r>
      <w:r>
        <w:instrText xml:space="preserve"> HYPERLINK \l _Toc15364 </w:instrText>
      </w:r>
      <w:r>
        <w:fldChar w:fldCharType="separate"/>
      </w:r>
      <w:r>
        <w:rPr>
          <w:rFonts w:hint="eastAsia" w:ascii="黑体" w:eastAsia="黑体"/>
          <w:i w:val="0"/>
        </w:rPr>
        <w:t xml:space="preserve">3 </w:t>
      </w:r>
      <w:r>
        <w:rPr>
          <w:rFonts w:hint="eastAsia"/>
          <w:szCs w:val="21"/>
        </w:rPr>
        <w:t>术语和定义</w:t>
      </w:r>
      <w:r>
        <w:tab/>
      </w:r>
      <w:r>
        <w:fldChar w:fldCharType="begin"/>
      </w:r>
      <w:r>
        <w:instrText xml:space="preserve"> PAGEREF _Toc15364 \h </w:instrText>
      </w:r>
      <w:r>
        <w:fldChar w:fldCharType="separate"/>
      </w:r>
      <w:r>
        <w:t>1</w:t>
      </w:r>
      <w:r>
        <w:fldChar w:fldCharType="end"/>
      </w:r>
      <w:r>
        <w:fldChar w:fldCharType="end"/>
      </w:r>
    </w:p>
    <w:p w14:paraId="0380AE18">
      <w:pPr>
        <w:pStyle w:val="19"/>
        <w:tabs>
          <w:tab w:val="right" w:leader="dot" w:pos="9354"/>
        </w:tabs>
      </w:pPr>
      <w:r>
        <w:fldChar w:fldCharType="begin"/>
      </w:r>
      <w:r>
        <w:instrText xml:space="preserve"> HYPERLINK \l _Toc24306 </w:instrText>
      </w:r>
      <w:r>
        <w:fldChar w:fldCharType="separate"/>
      </w:r>
      <w:r>
        <w:rPr>
          <w:rFonts w:hint="eastAsia" w:ascii="黑体" w:eastAsia="黑体"/>
          <w:i w:val="0"/>
          <w:strike w:val="0"/>
        </w:rPr>
        <w:t xml:space="preserve">4 </w:t>
      </w:r>
      <w:r>
        <w:rPr>
          <w:rFonts w:hint="eastAsia"/>
          <w:strike w:val="0"/>
          <w:dstrike w:val="0"/>
          <w:lang w:eastAsia="zh-CN"/>
        </w:rPr>
        <w:t>基础管理</w:t>
      </w:r>
      <w:r>
        <w:tab/>
      </w:r>
      <w:r>
        <w:fldChar w:fldCharType="begin"/>
      </w:r>
      <w:r>
        <w:instrText xml:space="preserve"> PAGEREF _Toc24306 \h </w:instrText>
      </w:r>
      <w:r>
        <w:fldChar w:fldCharType="separate"/>
      </w:r>
      <w:r>
        <w:t>2</w:t>
      </w:r>
      <w:r>
        <w:fldChar w:fldCharType="end"/>
      </w:r>
      <w:r>
        <w:fldChar w:fldCharType="end"/>
      </w:r>
    </w:p>
    <w:p w14:paraId="3FC11DF8">
      <w:pPr>
        <w:pStyle w:val="24"/>
        <w:tabs>
          <w:tab w:val="right" w:leader="dot" w:pos="9354"/>
          <w:tab w:val="clear" w:pos="9344"/>
        </w:tabs>
      </w:pPr>
      <w:r>
        <w:fldChar w:fldCharType="begin"/>
      </w:r>
      <w:r>
        <w:instrText xml:space="preserve"> HYPERLINK \l _Toc11269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rPr>
        <w:t>制度建设</w:t>
      </w:r>
      <w:r>
        <w:tab/>
      </w:r>
      <w:r>
        <w:fldChar w:fldCharType="begin"/>
      </w:r>
      <w:r>
        <w:instrText xml:space="preserve"> PAGEREF _Toc11269 \h </w:instrText>
      </w:r>
      <w:r>
        <w:fldChar w:fldCharType="separate"/>
      </w:r>
      <w:r>
        <w:t>2</w:t>
      </w:r>
      <w:r>
        <w:fldChar w:fldCharType="end"/>
      </w:r>
      <w:r>
        <w:fldChar w:fldCharType="end"/>
      </w:r>
    </w:p>
    <w:p w14:paraId="7DFDF8DB">
      <w:pPr>
        <w:pStyle w:val="24"/>
        <w:tabs>
          <w:tab w:val="right" w:leader="dot" w:pos="9354"/>
          <w:tab w:val="clear" w:pos="9344"/>
        </w:tabs>
      </w:pPr>
      <w:r>
        <w:fldChar w:fldCharType="begin"/>
      </w:r>
      <w:r>
        <w:instrText xml:space="preserve"> HYPERLINK \l _Toc16939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highlight w:val="none"/>
        </w:rPr>
        <w:t>安全员配置管理</w:t>
      </w:r>
      <w:r>
        <w:tab/>
      </w:r>
      <w:r>
        <w:fldChar w:fldCharType="begin"/>
      </w:r>
      <w:r>
        <w:instrText xml:space="preserve"> PAGEREF _Toc16939 \h </w:instrText>
      </w:r>
      <w:r>
        <w:fldChar w:fldCharType="separate"/>
      </w:r>
      <w:r>
        <w:t>5</w:t>
      </w:r>
      <w:r>
        <w:fldChar w:fldCharType="end"/>
      </w:r>
      <w:r>
        <w:fldChar w:fldCharType="end"/>
      </w:r>
    </w:p>
    <w:p w14:paraId="0AD58005">
      <w:pPr>
        <w:pStyle w:val="24"/>
        <w:tabs>
          <w:tab w:val="right" w:leader="dot" w:pos="9354"/>
          <w:tab w:val="clear" w:pos="9344"/>
        </w:tabs>
      </w:pPr>
      <w:r>
        <w:fldChar w:fldCharType="begin"/>
      </w:r>
      <w:r>
        <w:instrText xml:space="preserve"> HYPERLINK \l _Toc27338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eastAsia"/>
        </w:rPr>
        <w:t>特种作业人员管理</w:t>
      </w:r>
      <w:r>
        <w:tab/>
      </w:r>
      <w:r>
        <w:fldChar w:fldCharType="begin"/>
      </w:r>
      <w:r>
        <w:instrText xml:space="preserve"> PAGEREF _Toc27338 \h </w:instrText>
      </w:r>
      <w:r>
        <w:fldChar w:fldCharType="separate"/>
      </w:r>
      <w:r>
        <w:t>5</w:t>
      </w:r>
      <w:r>
        <w:fldChar w:fldCharType="end"/>
      </w:r>
      <w:r>
        <w:fldChar w:fldCharType="end"/>
      </w:r>
    </w:p>
    <w:p w14:paraId="29E9A83E">
      <w:pPr>
        <w:pStyle w:val="24"/>
        <w:tabs>
          <w:tab w:val="right" w:leader="dot" w:pos="9354"/>
          <w:tab w:val="clear" w:pos="9344"/>
        </w:tabs>
      </w:pPr>
      <w:r>
        <w:fldChar w:fldCharType="begin"/>
      </w:r>
      <w:r>
        <w:instrText xml:space="preserve"> HYPERLINK \l _Toc17956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 </w:t>
      </w:r>
      <w:r>
        <w:rPr>
          <w:rFonts w:hint="eastAsia"/>
        </w:rPr>
        <w:t>教育培训管理</w:t>
      </w:r>
      <w:r>
        <w:tab/>
      </w:r>
      <w:r>
        <w:fldChar w:fldCharType="begin"/>
      </w:r>
      <w:r>
        <w:instrText xml:space="preserve"> PAGEREF _Toc17956 \h </w:instrText>
      </w:r>
      <w:r>
        <w:fldChar w:fldCharType="separate"/>
      </w:r>
      <w:r>
        <w:t>6</w:t>
      </w:r>
      <w:r>
        <w:fldChar w:fldCharType="end"/>
      </w:r>
      <w:r>
        <w:fldChar w:fldCharType="end"/>
      </w:r>
    </w:p>
    <w:p w14:paraId="19CCB259">
      <w:pPr>
        <w:pStyle w:val="19"/>
        <w:tabs>
          <w:tab w:val="right" w:leader="dot" w:pos="9354"/>
        </w:tabs>
      </w:pPr>
      <w:r>
        <w:fldChar w:fldCharType="begin"/>
      </w:r>
      <w:r>
        <w:instrText xml:space="preserve"> HYPERLINK \l _Toc12576 </w:instrText>
      </w:r>
      <w:r>
        <w:fldChar w:fldCharType="separate"/>
      </w:r>
      <w:r>
        <w:rPr>
          <w:rFonts w:hint="eastAsia" w:ascii="黑体" w:eastAsia="黑体"/>
          <w:i w:val="0"/>
          <w:lang w:val="en-US" w:eastAsia="zh-CN"/>
        </w:rPr>
        <w:t xml:space="preserve">5 </w:t>
      </w:r>
      <w:r>
        <w:rPr>
          <w:rFonts w:hint="eastAsia"/>
          <w:highlight w:val="none"/>
          <w:lang w:val="en-US" w:eastAsia="zh-CN"/>
        </w:rPr>
        <w:t>现场管理</w:t>
      </w:r>
      <w:r>
        <w:tab/>
      </w:r>
      <w:r>
        <w:fldChar w:fldCharType="begin"/>
      </w:r>
      <w:r>
        <w:instrText xml:space="preserve"> PAGEREF _Toc12576 \h </w:instrText>
      </w:r>
      <w:r>
        <w:fldChar w:fldCharType="separate"/>
      </w:r>
      <w:r>
        <w:t>6</w:t>
      </w:r>
      <w:r>
        <w:fldChar w:fldCharType="end"/>
      </w:r>
      <w:r>
        <w:fldChar w:fldCharType="end"/>
      </w:r>
    </w:p>
    <w:p w14:paraId="6D055315">
      <w:pPr>
        <w:pStyle w:val="24"/>
        <w:tabs>
          <w:tab w:val="right" w:leader="dot" w:pos="9354"/>
          <w:tab w:val="clear" w:pos="9344"/>
        </w:tabs>
      </w:pPr>
      <w:r>
        <w:fldChar w:fldCharType="begin"/>
      </w:r>
      <w:r>
        <w:instrText xml:space="preserve"> HYPERLINK \l _Toc17151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rPr>
        <w:t>围挡管理</w:t>
      </w:r>
      <w:r>
        <w:tab/>
      </w:r>
      <w:r>
        <w:fldChar w:fldCharType="begin"/>
      </w:r>
      <w:r>
        <w:instrText xml:space="preserve"> PAGEREF _Toc17151 \h </w:instrText>
      </w:r>
      <w:r>
        <w:fldChar w:fldCharType="separate"/>
      </w:r>
      <w:r>
        <w:t>7</w:t>
      </w:r>
      <w:r>
        <w:fldChar w:fldCharType="end"/>
      </w:r>
      <w:r>
        <w:fldChar w:fldCharType="end"/>
      </w:r>
    </w:p>
    <w:p w14:paraId="716B2A75">
      <w:pPr>
        <w:pStyle w:val="24"/>
        <w:tabs>
          <w:tab w:val="right" w:leader="dot" w:pos="9354"/>
          <w:tab w:val="clear" w:pos="9344"/>
        </w:tabs>
      </w:pPr>
      <w:r>
        <w:fldChar w:fldCharType="begin"/>
      </w:r>
      <w:r>
        <w:instrText xml:space="preserve"> HYPERLINK \l _Toc30491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rPr>
        <w:t>标志管理</w:t>
      </w:r>
      <w:r>
        <w:tab/>
      </w:r>
      <w:r>
        <w:fldChar w:fldCharType="begin"/>
      </w:r>
      <w:r>
        <w:instrText xml:space="preserve"> PAGEREF _Toc30491 \h </w:instrText>
      </w:r>
      <w:r>
        <w:fldChar w:fldCharType="separate"/>
      </w:r>
      <w:r>
        <w:t>8</w:t>
      </w:r>
      <w:r>
        <w:fldChar w:fldCharType="end"/>
      </w:r>
      <w:r>
        <w:fldChar w:fldCharType="end"/>
      </w:r>
    </w:p>
    <w:p w14:paraId="62F696C0">
      <w:pPr>
        <w:pStyle w:val="24"/>
        <w:tabs>
          <w:tab w:val="right" w:leader="dot" w:pos="9354"/>
          <w:tab w:val="clear" w:pos="9344"/>
        </w:tabs>
      </w:pPr>
      <w:r>
        <w:fldChar w:fldCharType="begin"/>
      </w:r>
      <w:r>
        <w:instrText xml:space="preserve"> HYPERLINK \l _Toc14095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rPr>
        <w:t>照明、警示管理</w:t>
      </w:r>
      <w:r>
        <w:tab/>
      </w:r>
      <w:r>
        <w:fldChar w:fldCharType="begin"/>
      </w:r>
      <w:r>
        <w:instrText xml:space="preserve"> PAGEREF _Toc14095 \h </w:instrText>
      </w:r>
      <w:r>
        <w:fldChar w:fldCharType="separate"/>
      </w:r>
      <w:r>
        <w:t>8</w:t>
      </w:r>
      <w:r>
        <w:fldChar w:fldCharType="end"/>
      </w:r>
      <w:r>
        <w:fldChar w:fldCharType="end"/>
      </w:r>
    </w:p>
    <w:p w14:paraId="788314C8">
      <w:pPr>
        <w:pStyle w:val="24"/>
        <w:tabs>
          <w:tab w:val="right" w:leader="dot" w:pos="9354"/>
          <w:tab w:val="clear" w:pos="9344"/>
        </w:tabs>
      </w:pPr>
      <w:r>
        <w:fldChar w:fldCharType="begin"/>
      </w:r>
      <w:r>
        <w:instrText xml:space="preserve"> HYPERLINK \l _Toc22023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rPr>
        <w:t>现场防护管理</w:t>
      </w:r>
      <w:r>
        <w:tab/>
      </w:r>
      <w:r>
        <w:fldChar w:fldCharType="begin"/>
      </w:r>
      <w:r>
        <w:instrText xml:space="preserve"> PAGEREF _Toc22023 \h </w:instrText>
      </w:r>
      <w:r>
        <w:fldChar w:fldCharType="separate"/>
      </w:r>
      <w:r>
        <w:t>9</w:t>
      </w:r>
      <w:r>
        <w:fldChar w:fldCharType="end"/>
      </w:r>
      <w:r>
        <w:fldChar w:fldCharType="end"/>
      </w:r>
    </w:p>
    <w:p w14:paraId="0BDFB7D4">
      <w:pPr>
        <w:pStyle w:val="24"/>
        <w:tabs>
          <w:tab w:val="right" w:leader="dot" w:pos="9354"/>
          <w:tab w:val="clear" w:pos="9344"/>
        </w:tabs>
      </w:pPr>
      <w:r>
        <w:fldChar w:fldCharType="begin"/>
      </w:r>
      <w:r>
        <w:instrText xml:space="preserve"> HYPERLINK \l _Toc16787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highlight w:val="none"/>
          <w:lang w:val="en-US" w:eastAsia="zh-CN"/>
        </w:rPr>
        <w:t>料场管理</w:t>
      </w:r>
      <w:r>
        <w:tab/>
      </w:r>
      <w:r>
        <w:fldChar w:fldCharType="begin"/>
      </w:r>
      <w:r>
        <w:instrText xml:space="preserve"> PAGEREF _Toc16787 \h </w:instrText>
      </w:r>
      <w:r>
        <w:fldChar w:fldCharType="separate"/>
      </w:r>
      <w:r>
        <w:t>13</w:t>
      </w:r>
      <w:r>
        <w:fldChar w:fldCharType="end"/>
      </w:r>
      <w:r>
        <w:fldChar w:fldCharType="end"/>
      </w:r>
    </w:p>
    <w:p w14:paraId="5AC6E139">
      <w:pPr>
        <w:pStyle w:val="19"/>
        <w:tabs>
          <w:tab w:val="right" w:leader="dot" w:pos="9354"/>
        </w:tabs>
      </w:pPr>
      <w:r>
        <w:fldChar w:fldCharType="begin"/>
      </w:r>
      <w:r>
        <w:instrText xml:space="preserve"> HYPERLINK \l _Toc14023 </w:instrText>
      </w:r>
      <w:r>
        <w:fldChar w:fldCharType="separate"/>
      </w:r>
      <w:r>
        <w:rPr>
          <w:rFonts w:hint="eastAsia" w:ascii="黑体" w:eastAsia="黑体"/>
          <w:i w:val="0"/>
        </w:rPr>
        <w:t xml:space="preserve">6 </w:t>
      </w:r>
      <w:r>
        <w:rPr>
          <w:rFonts w:hint="eastAsia"/>
        </w:rPr>
        <w:t>作业管理</w:t>
      </w:r>
      <w:r>
        <w:tab/>
      </w:r>
      <w:r>
        <w:fldChar w:fldCharType="begin"/>
      </w:r>
      <w:r>
        <w:instrText xml:space="preserve"> PAGEREF _Toc14023 \h </w:instrText>
      </w:r>
      <w:r>
        <w:fldChar w:fldCharType="separate"/>
      </w:r>
      <w:r>
        <w:t>13</w:t>
      </w:r>
      <w:r>
        <w:fldChar w:fldCharType="end"/>
      </w:r>
      <w:r>
        <w:fldChar w:fldCharType="end"/>
      </w:r>
    </w:p>
    <w:p w14:paraId="7FD3BE90">
      <w:pPr>
        <w:pStyle w:val="24"/>
        <w:tabs>
          <w:tab w:val="right" w:leader="dot" w:pos="9354"/>
          <w:tab w:val="clear" w:pos="9344"/>
        </w:tabs>
      </w:pPr>
      <w:r>
        <w:fldChar w:fldCharType="begin"/>
      </w:r>
      <w:r>
        <w:instrText xml:space="preserve"> HYPERLINK \l _Toc15377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rPr>
        <w:t>基坑（槽）作业管理</w:t>
      </w:r>
      <w:r>
        <w:tab/>
      </w:r>
      <w:r>
        <w:fldChar w:fldCharType="begin"/>
      </w:r>
      <w:r>
        <w:instrText xml:space="preserve"> PAGEREF _Toc15377 \h </w:instrText>
      </w:r>
      <w:r>
        <w:fldChar w:fldCharType="separate"/>
      </w:r>
      <w:r>
        <w:t>13</w:t>
      </w:r>
      <w:r>
        <w:fldChar w:fldCharType="end"/>
      </w:r>
      <w:r>
        <w:fldChar w:fldCharType="end"/>
      </w:r>
    </w:p>
    <w:p w14:paraId="6F3E93B2">
      <w:pPr>
        <w:pStyle w:val="24"/>
        <w:tabs>
          <w:tab w:val="right" w:leader="dot" w:pos="9354"/>
          <w:tab w:val="clear" w:pos="9344"/>
        </w:tabs>
      </w:pPr>
      <w:r>
        <w:fldChar w:fldCharType="begin"/>
      </w:r>
      <w:r>
        <w:instrText xml:space="preserve"> HYPERLINK \l _Toc6191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rPr>
        <w:t>动火作业管理</w:t>
      </w:r>
      <w:r>
        <w:tab/>
      </w:r>
      <w:r>
        <w:fldChar w:fldCharType="begin"/>
      </w:r>
      <w:r>
        <w:instrText xml:space="preserve"> PAGEREF _Toc6191 \h </w:instrText>
      </w:r>
      <w:r>
        <w:fldChar w:fldCharType="separate"/>
      </w:r>
      <w:r>
        <w:t>14</w:t>
      </w:r>
      <w:r>
        <w:fldChar w:fldCharType="end"/>
      </w:r>
      <w:r>
        <w:fldChar w:fldCharType="end"/>
      </w:r>
    </w:p>
    <w:p w14:paraId="7524797E">
      <w:pPr>
        <w:pStyle w:val="24"/>
        <w:tabs>
          <w:tab w:val="right" w:leader="dot" w:pos="9354"/>
          <w:tab w:val="clear" w:pos="9344"/>
        </w:tabs>
      </w:pPr>
      <w:r>
        <w:fldChar w:fldCharType="begin"/>
      </w:r>
      <w:r>
        <w:instrText xml:space="preserve"> HYPERLINK \l _Toc12245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rPr>
        <w:t>有限空间作业管理</w:t>
      </w:r>
      <w:r>
        <w:tab/>
      </w:r>
      <w:r>
        <w:fldChar w:fldCharType="begin"/>
      </w:r>
      <w:r>
        <w:instrText xml:space="preserve"> PAGEREF _Toc12245 \h </w:instrText>
      </w:r>
      <w:r>
        <w:fldChar w:fldCharType="separate"/>
      </w:r>
      <w:r>
        <w:t>16</w:t>
      </w:r>
      <w:r>
        <w:fldChar w:fldCharType="end"/>
      </w:r>
      <w:r>
        <w:fldChar w:fldCharType="end"/>
      </w:r>
    </w:p>
    <w:p w14:paraId="77537A4A">
      <w:pPr>
        <w:pStyle w:val="24"/>
        <w:tabs>
          <w:tab w:val="right" w:leader="dot" w:pos="9354"/>
          <w:tab w:val="clear" w:pos="9344"/>
        </w:tabs>
      </w:pPr>
      <w:r>
        <w:fldChar w:fldCharType="begin"/>
      </w:r>
      <w:r>
        <w:instrText xml:space="preserve"> HYPERLINK \l _Toc21784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lang w:val="en-US" w:eastAsia="zh-CN"/>
        </w:rPr>
        <w:t>吊装</w:t>
      </w:r>
      <w:r>
        <w:rPr>
          <w:rFonts w:hint="eastAsia"/>
        </w:rPr>
        <w:t>作业管理</w:t>
      </w:r>
      <w:r>
        <w:tab/>
      </w:r>
      <w:r>
        <w:fldChar w:fldCharType="begin"/>
      </w:r>
      <w:r>
        <w:instrText xml:space="preserve"> PAGEREF _Toc21784 \h </w:instrText>
      </w:r>
      <w:r>
        <w:fldChar w:fldCharType="separate"/>
      </w:r>
      <w:r>
        <w:t>18</w:t>
      </w:r>
      <w:r>
        <w:fldChar w:fldCharType="end"/>
      </w:r>
      <w:r>
        <w:fldChar w:fldCharType="end"/>
      </w:r>
    </w:p>
    <w:p w14:paraId="09671E61">
      <w:pPr>
        <w:pStyle w:val="24"/>
        <w:tabs>
          <w:tab w:val="right" w:leader="dot" w:pos="9354"/>
          <w:tab w:val="clear" w:pos="9344"/>
        </w:tabs>
      </w:pPr>
      <w:r>
        <w:fldChar w:fldCharType="begin"/>
      </w:r>
      <w:r>
        <w:instrText xml:space="preserve"> HYPERLINK \l _Toc4127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rPr>
        <w:t>临时用电管理</w:t>
      </w:r>
      <w:r>
        <w:tab/>
      </w:r>
      <w:r>
        <w:fldChar w:fldCharType="begin"/>
      </w:r>
      <w:r>
        <w:instrText xml:space="preserve"> PAGEREF _Toc4127 \h </w:instrText>
      </w:r>
      <w:r>
        <w:fldChar w:fldCharType="separate"/>
      </w:r>
      <w:r>
        <w:t>19</w:t>
      </w:r>
      <w:r>
        <w:fldChar w:fldCharType="end"/>
      </w:r>
      <w:r>
        <w:fldChar w:fldCharType="end"/>
      </w:r>
    </w:p>
    <w:p w14:paraId="547A9456">
      <w:pPr>
        <w:pStyle w:val="24"/>
        <w:tabs>
          <w:tab w:val="right" w:leader="dot" w:pos="9354"/>
          <w:tab w:val="clear" w:pos="9344"/>
        </w:tabs>
      </w:pPr>
      <w:r>
        <w:fldChar w:fldCharType="begin"/>
      </w:r>
      <w:r>
        <w:instrText xml:space="preserve"> HYPERLINK \l _Toc20552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6.6 </w:t>
      </w:r>
      <w:r>
        <w:rPr>
          <w:rFonts w:hint="eastAsia"/>
        </w:rPr>
        <w:t>高处作业管理</w:t>
      </w:r>
      <w:r>
        <w:tab/>
      </w:r>
      <w:r>
        <w:fldChar w:fldCharType="begin"/>
      </w:r>
      <w:r>
        <w:instrText xml:space="preserve"> PAGEREF _Toc20552 \h </w:instrText>
      </w:r>
      <w:r>
        <w:fldChar w:fldCharType="separate"/>
      </w:r>
      <w:r>
        <w:t>21</w:t>
      </w:r>
      <w:r>
        <w:fldChar w:fldCharType="end"/>
      </w:r>
      <w:r>
        <w:fldChar w:fldCharType="end"/>
      </w:r>
    </w:p>
    <w:p w14:paraId="71CBFBCA">
      <w:pPr>
        <w:pStyle w:val="24"/>
        <w:tabs>
          <w:tab w:val="right" w:leader="dot" w:pos="9354"/>
          <w:tab w:val="clear" w:pos="9344"/>
        </w:tabs>
      </w:pPr>
      <w:r>
        <w:fldChar w:fldCharType="begin"/>
      </w:r>
      <w:r>
        <w:instrText xml:space="preserve"> HYPERLINK \l _Toc9986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6.7 </w:t>
      </w:r>
      <w:r>
        <w:rPr>
          <w:rFonts w:hint="eastAsia"/>
        </w:rPr>
        <w:t>泄、抽、排热水管理</w:t>
      </w:r>
      <w:r>
        <w:tab/>
      </w:r>
      <w:r>
        <w:fldChar w:fldCharType="begin"/>
      </w:r>
      <w:r>
        <w:instrText xml:space="preserve"> PAGEREF _Toc9986 \h </w:instrText>
      </w:r>
      <w:r>
        <w:fldChar w:fldCharType="separate"/>
      </w:r>
      <w:r>
        <w:t>22</w:t>
      </w:r>
      <w:r>
        <w:fldChar w:fldCharType="end"/>
      </w:r>
      <w:r>
        <w:fldChar w:fldCharType="end"/>
      </w:r>
    </w:p>
    <w:p w14:paraId="41B73870">
      <w:pPr>
        <w:pStyle w:val="19"/>
        <w:tabs>
          <w:tab w:val="right" w:leader="dot" w:pos="9354"/>
        </w:tabs>
      </w:pPr>
      <w:r>
        <w:fldChar w:fldCharType="begin"/>
      </w:r>
      <w:r>
        <w:instrText xml:space="preserve"> HYPERLINK \l _Toc23650 </w:instrText>
      </w:r>
      <w:r>
        <w:fldChar w:fldCharType="separate"/>
      </w:r>
      <w:r>
        <w:rPr>
          <w:rFonts w:hint="eastAsia" w:ascii="黑体" w:eastAsia="黑体"/>
          <w:i w:val="0"/>
          <w:lang w:val="en-US" w:eastAsia="zh-CN"/>
        </w:rPr>
        <w:t xml:space="preserve">7 </w:t>
      </w:r>
      <w:r>
        <w:rPr>
          <w:rFonts w:hint="eastAsia"/>
          <w:highlight w:val="none"/>
          <w:lang w:val="en-US" w:eastAsia="zh-CN"/>
        </w:rPr>
        <w:t>现场视频监控管理</w:t>
      </w:r>
      <w:r>
        <w:tab/>
      </w:r>
      <w:r>
        <w:fldChar w:fldCharType="begin"/>
      </w:r>
      <w:r>
        <w:instrText xml:space="preserve"> PAGEREF _Toc23650 \h </w:instrText>
      </w:r>
      <w:r>
        <w:fldChar w:fldCharType="separate"/>
      </w:r>
      <w:r>
        <w:t>22</w:t>
      </w:r>
      <w:r>
        <w:fldChar w:fldCharType="end"/>
      </w:r>
      <w:r>
        <w:fldChar w:fldCharType="end"/>
      </w:r>
    </w:p>
    <w:p w14:paraId="3ED99BDA">
      <w:pPr>
        <w:pStyle w:val="24"/>
        <w:tabs>
          <w:tab w:val="right" w:leader="dot" w:pos="9354"/>
          <w:tab w:val="clear" w:pos="9344"/>
        </w:tabs>
      </w:pPr>
      <w:r>
        <w:fldChar w:fldCharType="begin"/>
      </w:r>
      <w:r>
        <w:instrText xml:space="preserve"> HYPERLINK \l _Toc21000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highlight w:val="none"/>
          <w:lang w:val="en-US" w:eastAsia="zh-CN"/>
        </w:rPr>
        <w:t>基本要求</w:t>
      </w:r>
      <w:r>
        <w:tab/>
      </w:r>
      <w:r>
        <w:fldChar w:fldCharType="begin"/>
      </w:r>
      <w:r>
        <w:instrText xml:space="preserve"> PAGEREF _Toc21000 \h </w:instrText>
      </w:r>
      <w:r>
        <w:fldChar w:fldCharType="separate"/>
      </w:r>
      <w:r>
        <w:t>22</w:t>
      </w:r>
      <w:r>
        <w:fldChar w:fldCharType="end"/>
      </w:r>
      <w:r>
        <w:fldChar w:fldCharType="end"/>
      </w:r>
    </w:p>
    <w:p w14:paraId="313C6B8B">
      <w:pPr>
        <w:pStyle w:val="24"/>
        <w:tabs>
          <w:tab w:val="right" w:leader="dot" w:pos="9354"/>
          <w:tab w:val="clear" w:pos="9344"/>
        </w:tabs>
      </w:pPr>
      <w:r>
        <w:fldChar w:fldCharType="begin"/>
      </w:r>
      <w:r>
        <w:instrText xml:space="preserve"> HYPERLINK \l _Toc10354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highlight w:val="none"/>
          <w:lang w:val="en-US" w:eastAsia="zh-CN"/>
        </w:rPr>
        <w:t>视频记录重点</w:t>
      </w:r>
      <w:r>
        <w:tab/>
      </w:r>
      <w:r>
        <w:fldChar w:fldCharType="begin"/>
      </w:r>
      <w:r>
        <w:instrText xml:space="preserve"> PAGEREF _Toc10354 \h </w:instrText>
      </w:r>
      <w:r>
        <w:fldChar w:fldCharType="separate"/>
      </w:r>
      <w:r>
        <w:t>23</w:t>
      </w:r>
      <w:r>
        <w:fldChar w:fldCharType="end"/>
      </w:r>
      <w:r>
        <w:fldChar w:fldCharType="end"/>
      </w:r>
    </w:p>
    <w:p w14:paraId="4E0F6B0D">
      <w:pPr>
        <w:pStyle w:val="24"/>
        <w:tabs>
          <w:tab w:val="right" w:leader="dot" w:pos="9354"/>
          <w:tab w:val="clear" w:pos="9344"/>
        </w:tabs>
      </w:pPr>
      <w:r>
        <w:fldChar w:fldCharType="begin"/>
      </w:r>
      <w:r>
        <w:instrText xml:space="preserve"> HYPERLINK \l _Toc21775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highlight w:val="none"/>
          <w:lang w:val="en-US" w:eastAsia="zh-CN"/>
        </w:rPr>
        <w:t>视频记录要求</w:t>
      </w:r>
      <w:r>
        <w:tab/>
      </w:r>
      <w:r>
        <w:fldChar w:fldCharType="begin"/>
      </w:r>
      <w:r>
        <w:instrText xml:space="preserve"> PAGEREF _Toc21775 \h </w:instrText>
      </w:r>
      <w:r>
        <w:fldChar w:fldCharType="separate"/>
      </w:r>
      <w:r>
        <w:t>23</w:t>
      </w:r>
      <w:r>
        <w:fldChar w:fldCharType="end"/>
      </w:r>
      <w:r>
        <w:fldChar w:fldCharType="end"/>
      </w:r>
    </w:p>
    <w:p w14:paraId="2BA9FDB7">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_Toc32219 </w:instrText>
      </w:r>
      <w:r>
        <w:rPr>
          <w:rFonts w:hint="eastAsia"/>
          <w:highlight w:val="none"/>
          <w:lang w:val="en-US" w:eastAsia="zh-CN"/>
        </w:rPr>
        <w:fldChar w:fldCharType="separate"/>
      </w:r>
      <w:r>
        <w:rPr>
          <w:rFonts w:hint="eastAsia"/>
          <w:highlight w:val="none"/>
          <w:lang w:val="en-US" w:eastAsia="zh-CN"/>
        </w:rPr>
        <w:t>附录A（资料性）</w:t>
      </w:r>
      <w:r>
        <w:rPr>
          <w:rFonts w:hint="eastAsia"/>
          <w:highlight w:val="none"/>
          <w:lang w:val="en-US" w:eastAsia="zh-CN"/>
        </w:rPr>
        <w:t xml:space="preserve"> </w:t>
      </w:r>
      <w:r>
        <w:rPr>
          <w:rFonts w:hint="eastAsia"/>
          <w:highlight w:val="none"/>
          <w:lang w:val="en-US" w:eastAsia="zh-CN"/>
        </w:rPr>
        <w:t>安全技术交底记录表</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_Toc32219 \h </w:instrText>
      </w:r>
      <w:r>
        <w:rPr>
          <w:rFonts w:hint="eastAsia"/>
          <w:highlight w:val="none"/>
          <w:lang w:val="en-US" w:eastAsia="zh-CN"/>
        </w:rPr>
        <w:fldChar w:fldCharType="separate"/>
      </w:r>
      <w:r>
        <w:rPr>
          <w:rFonts w:hint="eastAsia"/>
          <w:highlight w:val="none"/>
          <w:lang w:val="en-US" w:eastAsia="zh-CN"/>
        </w:rPr>
        <w:t>24</w:t>
      </w:r>
      <w:r>
        <w:rPr>
          <w:rFonts w:hint="eastAsia"/>
          <w:highlight w:val="none"/>
          <w:lang w:val="en-US" w:eastAsia="zh-CN"/>
        </w:rPr>
        <w:fldChar w:fldCharType="end"/>
      </w:r>
      <w:r>
        <w:rPr>
          <w:rFonts w:hint="eastAsia"/>
          <w:highlight w:val="none"/>
          <w:lang w:val="en-US" w:eastAsia="zh-CN"/>
        </w:rPr>
        <w:fldChar w:fldCharType="end"/>
      </w:r>
    </w:p>
    <w:p w14:paraId="3B75730A">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_Toc31998 </w:instrText>
      </w:r>
      <w:r>
        <w:rPr>
          <w:rFonts w:hint="eastAsia"/>
          <w:highlight w:val="none"/>
          <w:lang w:val="en-US" w:eastAsia="zh-CN"/>
        </w:rPr>
        <w:fldChar w:fldCharType="separate"/>
      </w:r>
      <w:r>
        <w:rPr>
          <w:rFonts w:hint="eastAsia"/>
          <w:highlight w:val="none"/>
          <w:lang w:val="en-US" w:eastAsia="zh-CN"/>
        </w:rPr>
        <w:t>附录B（资料性）</w:t>
      </w:r>
      <w:r>
        <w:rPr>
          <w:rFonts w:hint="eastAsia"/>
          <w:highlight w:val="none"/>
          <w:lang w:val="en-US" w:eastAsia="zh-CN"/>
        </w:rPr>
        <w:t xml:space="preserve"> </w:t>
      </w:r>
      <w:r>
        <w:rPr>
          <w:rFonts w:hint="eastAsia"/>
          <w:highlight w:val="none"/>
          <w:lang w:val="en-US" w:eastAsia="zh-CN"/>
        </w:rPr>
        <w:t>班组班前讲话记录表</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_Toc31998 \h </w:instrText>
      </w:r>
      <w:r>
        <w:rPr>
          <w:rFonts w:hint="eastAsia"/>
          <w:highlight w:val="none"/>
          <w:lang w:val="en-US" w:eastAsia="zh-CN"/>
        </w:rPr>
        <w:fldChar w:fldCharType="separate"/>
      </w:r>
      <w:r>
        <w:rPr>
          <w:rFonts w:hint="eastAsia"/>
          <w:highlight w:val="none"/>
          <w:lang w:val="en-US" w:eastAsia="zh-CN"/>
        </w:rPr>
        <w:t>25</w:t>
      </w:r>
      <w:r>
        <w:rPr>
          <w:rFonts w:hint="eastAsia"/>
          <w:highlight w:val="none"/>
          <w:lang w:val="en-US" w:eastAsia="zh-CN"/>
        </w:rPr>
        <w:fldChar w:fldCharType="end"/>
      </w:r>
      <w:r>
        <w:rPr>
          <w:rFonts w:hint="eastAsia"/>
          <w:highlight w:val="none"/>
          <w:lang w:val="en-US" w:eastAsia="zh-CN"/>
        </w:rPr>
        <w:fldChar w:fldCharType="end"/>
      </w:r>
    </w:p>
    <w:p w14:paraId="749CB3C8">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_Toc17070 </w:instrText>
      </w:r>
      <w:r>
        <w:rPr>
          <w:rFonts w:hint="eastAsia"/>
          <w:highlight w:val="none"/>
          <w:lang w:val="en-US" w:eastAsia="zh-CN"/>
        </w:rPr>
        <w:fldChar w:fldCharType="separate"/>
      </w:r>
      <w:r>
        <w:rPr>
          <w:rFonts w:hint="eastAsia"/>
          <w:highlight w:val="none"/>
          <w:lang w:val="en-US" w:eastAsia="zh-CN"/>
        </w:rPr>
        <w:t>附录C（资料性）</w:t>
      </w:r>
      <w:r>
        <w:rPr>
          <w:rFonts w:hint="eastAsia"/>
          <w:highlight w:val="none"/>
          <w:lang w:val="en-US" w:eastAsia="zh-CN"/>
        </w:rPr>
        <w:t xml:space="preserve"> </w:t>
      </w:r>
      <w:r>
        <w:rPr>
          <w:rFonts w:hint="eastAsia"/>
          <w:highlight w:val="none"/>
          <w:lang w:val="en-US" w:eastAsia="zh-CN"/>
        </w:rPr>
        <w:t>九牌一图一公告</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_Toc17070 \h </w:instrText>
      </w:r>
      <w:r>
        <w:rPr>
          <w:rFonts w:hint="eastAsia"/>
          <w:highlight w:val="none"/>
          <w:lang w:val="en-US" w:eastAsia="zh-CN"/>
        </w:rPr>
        <w:fldChar w:fldCharType="separate"/>
      </w:r>
      <w:r>
        <w:rPr>
          <w:rFonts w:hint="eastAsia"/>
          <w:highlight w:val="none"/>
          <w:lang w:val="en-US" w:eastAsia="zh-CN"/>
        </w:rPr>
        <w:t>26</w:t>
      </w:r>
      <w:r>
        <w:rPr>
          <w:rFonts w:hint="eastAsia"/>
          <w:highlight w:val="none"/>
          <w:lang w:val="en-US" w:eastAsia="zh-CN"/>
        </w:rPr>
        <w:fldChar w:fldCharType="end"/>
      </w:r>
      <w:r>
        <w:rPr>
          <w:rFonts w:hint="eastAsia"/>
          <w:highlight w:val="none"/>
          <w:lang w:val="en-US" w:eastAsia="zh-CN"/>
        </w:rPr>
        <w:fldChar w:fldCharType="end"/>
      </w:r>
    </w:p>
    <w:p w14:paraId="4B2E97F4">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_Toc22856 </w:instrText>
      </w:r>
      <w:r>
        <w:rPr>
          <w:rFonts w:hint="eastAsia"/>
          <w:highlight w:val="none"/>
          <w:lang w:val="en-US" w:eastAsia="zh-CN"/>
        </w:rPr>
        <w:fldChar w:fldCharType="separate"/>
      </w:r>
      <w:r>
        <w:rPr>
          <w:rFonts w:hint="eastAsia"/>
          <w:highlight w:val="none"/>
          <w:lang w:val="en-US" w:eastAsia="zh-CN"/>
        </w:rPr>
        <w:t>附录D（资料性）</w:t>
      </w:r>
      <w:r>
        <w:rPr>
          <w:rFonts w:hint="eastAsia"/>
          <w:highlight w:val="none"/>
          <w:lang w:val="en-US" w:eastAsia="zh-CN"/>
        </w:rPr>
        <w:t xml:space="preserve"> </w:t>
      </w:r>
      <w:r>
        <w:rPr>
          <w:rFonts w:hint="eastAsia"/>
          <w:highlight w:val="none"/>
          <w:lang w:val="en-US" w:eastAsia="zh-CN"/>
        </w:rPr>
        <w:t>常用标志标识</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_Toc22856 \h </w:instrText>
      </w:r>
      <w:r>
        <w:rPr>
          <w:rFonts w:hint="eastAsia"/>
          <w:highlight w:val="none"/>
          <w:lang w:val="en-US" w:eastAsia="zh-CN"/>
        </w:rPr>
        <w:fldChar w:fldCharType="separate"/>
      </w:r>
      <w:r>
        <w:rPr>
          <w:rFonts w:hint="eastAsia"/>
          <w:highlight w:val="none"/>
          <w:lang w:val="en-US" w:eastAsia="zh-CN"/>
        </w:rPr>
        <w:t>28</w:t>
      </w:r>
      <w:r>
        <w:rPr>
          <w:rFonts w:hint="eastAsia"/>
          <w:highlight w:val="none"/>
          <w:lang w:val="en-US" w:eastAsia="zh-CN"/>
        </w:rPr>
        <w:fldChar w:fldCharType="end"/>
      </w:r>
      <w:r>
        <w:rPr>
          <w:rFonts w:hint="eastAsia"/>
          <w:highlight w:val="none"/>
          <w:lang w:val="en-US" w:eastAsia="zh-CN"/>
        </w:rPr>
        <w:fldChar w:fldCharType="end"/>
      </w:r>
    </w:p>
    <w:p w14:paraId="3D5B76CB">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_Toc2989 </w:instrText>
      </w:r>
      <w:r>
        <w:rPr>
          <w:rFonts w:hint="eastAsia"/>
          <w:highlight w:val="none"/>
          <w:lang w:val="en-US" w:eastAsia="zh-CN"/>
        </w:rPr>
        <w:fldChar w:fldCharType="separate"/>
      </w:r>
      <w:r>
        <w:rPr>
          <w:rFonts w:hint="eastAsia"/>
          <w:highlight w:val="none"/>
          <w:lang w:val="en-US" w:eastAsia="zh-CN"/>
        </w:rPr>
        <w:t>附录E（资料性）</w:t>
      </w:r>
      <w:r>
        <w:rPr>
          <w:rFonts w:hint="eastAsia"/>
          <w:highlight w:val="none"/>
          <w:lang w:val="en-US" w:eastAsia="zh-CN"/>
        </w:rPr>
        <w:t xml:space="preserve"> </w:t>
      </w:r>
      <w:r>
        <w:rPr>
          <w:rFonts w:hint="eastAsia"/>
          <w:highlight w:val="none"/>
          <w:lang w:val="en-US" w:eastAsia="zh-CN"/>
        </w:rPr>
        <w:t>人员防护装备</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_Toc2989 \h </w:instrText>
      </w:r>
      <w:r>
        <w:rPr>
          <w:rFonts w:hint="eastAsia"/>
          <w:highlight w:val="none"/>
          <w:lang w:val="en-US" w:eastAsia="zh-CN"/>
        </w:rPr>
        <w:fldChar w:fldCharType="separate"/>
      </w:r>
      <w:r>
        <w:rPr>
          <w:rFonts w:hint="eastAsia"/>
          <w:highlight w:val="none"/>
          <w:lang w:val="en-US" w:eastAsia="zh-CN"/>
        </w:rPr>
        <w:t>30</w:t>
      </w:r>
      <w:r>
        <w:rPr>
          <w:rFonts w:hint="eastAsia"/>
          <w:highlight w:val="none"/>
          <w:lang w:val="en-US" w:eastAsia="zh-CN"/>
        </w:rPr>
        <w:fldChar w:fldCharType="end"/>
      </w:r>
      <w:r>
        <w:rPr>
          <w:rFonts w:hint="eastAsia"/>
          <w:highlight w:val="none"/>
          <w:lang w:val="en-US" w:eastAsia="zh-CN"/>
        </w:rPr>
        <w:fldChar w:fldCharType="end"/>
      </w:r>
    </w:p>
    <w:p w14:paraId="5E670B14">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_Toc19026 </w:instrText>
      </w:r>
      <w:r>
        <w:rPr>
          <w:rFonts w:hint="eastAsia"/>
          <w:highlight w:val="none"/>
          <w:lang w:val="en-US" w:eastAsia="zh-CN"/>
        </w:rPr>
        <w:fldChar w:fldCharType="separate"/>
      </w:r>
      <w:r>
        <w:rPr>
          <w:rFonts w:hint="eastAsia"/>
          <w:highlight w:val="none"/>
          <w:lang w:val="en-US" w:eastAsia="zh-CN"/>
        </w:rPr>
        <w:t>附录F（资料性）</w:t>
      </w:r>
      <w:r>
        <w:rPr>
          <w:rFonts w:hint="eastAsia"/>
          <w:highlight w:val="none"/>
          <w:lang w:val="en-US" w:eastAsia="zh-CN"/>
        </w:rPr>
        <w:t xml:space="preserve"> </w:t>
      </w:r>
      <w:r>
        <w:rPr>
          <w:rFonts w:hint="eastAsia"/>
          <w:highlight w:val="none"/>
          <w:lang w:val="en-US" w:eastAsia="zh-CN"/>
        </w:rPr>
        <w:t>临边防护</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_Toc19026 \h </w:instrText>
      </w:r>
      <w:r>
        <w:rPr>
          <w:rFonts w:hint="eastAsia"/>
          <w:highlight w:val="none"/>
          <w:lang w:val="en-US" w:eastAsia="zh-CN"/>
        </w:rPr>
        <w:fldChar w:fldCharType="separate"/>
      </w:r>
      <w:r>
        <w:rPr>
          <w:rFonts w:hint="eastAsia"/>
          <w:highlight w:val="none"/>
          <w:lang w:val="en-US" w:eastAsia="zh-CN"/>
        </w:rPr>
        <w:t>32</w:t>
      </w:r>
      <w:r>
        <w:rPr>
          <w:rFonts w:hint="eastAsia"/>
          <w:highlight w:val="none"/>
          <w:lang w:val="en-US" w:eastAsia="zh-CN"/>
        </w:rPr>
        <w:fldChar w:fldCharType="end"/>
      </w:r>
      <w:r>
        <w:rPr>
          <w:rFonts w:hint="eastAsia"/>
          <w:highlight w:val="none"/>
          <w:lang w:val="en-US" w:eastAsia="zh-CN"/>
        </w:rPr>
        <w:fldChar w:fldCharType="end"/>
      </w:r>
    </w:p>
    <w:p w14:paraId="58287902">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_Toc9106 </w:instrText>
      </w:r>
      <w:r>
        <w:rPr>
          <w:rFonts w:hint="eastAsia"/>
          <w:highlight w:val="none"/>
          <w:lang w:val="en-US" w:eastAsia="zh-CN"/>
        </w:rPr>
        <w:fldChar w:fldCharType="separate"/>
      </w:r>
      <w:r>
        <w:rPr>
          <w:rFonts w:hint="eastAsia"/>
          <w:highlight w:val="none"/>
          <w:lang w:val="en-US" w:eastAsia="zh-CN"/>
        </w:rPr>
        <w:t>附录G（资料性）</w:t>
      </w:r>
      <w:r>
        <w:rPr>
          <w:rFonts w:hint="eastAsia"/>
          <w:highlight w:val="none"/>
          <w:lang w:val="en-US" w:eastAsia="zh-CN"/>
        </w:rPr>
        <w:t xml:space="preserve"> </w:t>
      </w:r>
      <w:r>
        <w:rPr>
          <w:rFonts w:hint="eastAsia"/>
          <w:highlight w:val="none"/>
          <w:lang w:val="en-US" w:eastAsia="zh-CN"/>
        </w:rPr>
        <w:t>消防防护</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_Toc9106 \h </w:instrText>
      </w:r>
      <w:r>
        <w:rPr>
          <w:rFonts w:hint="eastAsia"/>
          <w:highlight w:val="none"/>
          <w:lang w:val="en-US" w:eastAsia="zh-CN"/>
        </w:rPr>
        <w:fldChar w:fldCharType="separate"/>
      </w:r>
      <w:r>
        <w:rPr>
          <w:rFonts w:hint="eastAsia"/>
          <w:highlight w:val="none"/>
          <w:lang w:val="en-US" w:eastAsia="zh-CN"/>
        </w:rPr>
        <w:t>33</w:t>
      </w:r>
      <w:r>
        <w:rPr>
          <w:rFonts w:hint="eastAsia"/>
          <w:highlight w:val="none"/>
          <w:lang w:val="en-US" w:eastAsia="zh-CN"/>
        </w:rPr>
        <w:fldChar w:fldCharType="end"/>
      </w:r>
      <w:r>
        <w:rPr>
          <w:rFonts w:hint="eastAsia"/>
          <w:highlight w:val="none"/>
          <w:lang w:val="en-US" w:eastAsia="zh-CN"/>
        </w:rPr>
        <w:fldChar w:fldCharType="end"/>
      </w:r>
    </w:p>
    <w:p w14:paraId="73D6DD40">
      <w:pPr>
        <w:pStyle w:val="19"/>
        <w:tabs>
          <w:tab w:val="right" w:leader="dot" w:pos="9354"/>
        </w:tabs>
      </w:pPr>
      <w:r>
        <w:rPr>
          <w:rFonts w:hint="eastAsia"/>
          <w:highlight w:val="none"/>
          <w:lang w:val="en-US" w:eastAsia="zh-CN"/>
        </w:rPr>
        <w:fldChar w:fldCharType="begin"/>
      </w:r>
      <w:r>
        <w:rPr>
          <w:rFonts w:hint="eastAsia"/>
          <w:highlight w:val="none"/>
          <w:lang w:val="en-US" w:eastAsia="zh-CN"/>
        </w:rPr>
        <w:instrText xml:space="preserve"> HYPERLINK \l _Toc21559 </w:instrText>
      </w:r>
      <w:r>
        <w:rPr>
          <w:rFonts w:hint="eastAsia"/>
          <w:highlight w:val="none"/>
          <w:lang w:val="en-US" w:eastAsia="zh-CN"/>
        </w:rPr>
        <w:fldChar w:fldCharType="separate"/>
      </w:r>
      <w:r>
        <w:rPr>
          <w:rFonts w:hint="eastAsia"/>
          <w:highlight w:val="none"/>
          <w:lang w:val="en-US" w:eastAsia="zh-CN"/>
        </w:rPr>
        <w:t>附录H（资料性）</w:t>
      </w:r>
      <w:r>
        <w:rPr>
          <w:rFonts w:hint="eastAsia"/>
          <w:highlight w:val="none"/>
          <w:lang w:val="en-US" w:eastAsia="zh-CN"/>
        </w:rPr>
        <w:t xml:space="preserve"> </w:t>
      </w:r>
      <w:r>
        <w:rPr>
          <w:rFonts w:hint="eastAsia"/>
          <w:highlight w:val="none"/>
          <w:lang w:val="en-US" w:eastAsia="zh-CN"/>
        </w:rPr>
        <w:t>汛期防护</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_Toc21559 \h </w:instrText>
      </w:r>
      <w:r>
        <w:rPr>
          <w:rFonts w:hint="eastAsia"/>
          <w:highlight w:val="none"/>
          <w:lang w:val="en-US" w:eastAsia="zh-CN"/>
        </w:rPr>
        <w:fldChar w:fldCharType="separate"/>
      </w:r>
      <w:r>
        <w:rPr>
          <w:rFonts w:hint="eastAsia"/>
          <w:highlight w:val="none"/>
          <w:lang w:val="en-US" w:eastAsia="zh-CN"/>
        </w:rPr>
        <w:t>34</w:t>
      </w:r>
      <w:r>
        <w:rPr>
          <w:rFonts w:hint="eastAsia"/>
          <w:highlight w:val="none"/>
          <w:lang w:val="en-US" w:eastAsia="zh-CN"/>
        </w:rPr>
        <w:fldChar w:fldCharType="end"/>
      </w:r>
      <w:r>
        <w:rPr>
          <w:rFonts w:hint="eastAsia"/>
          <w:highlight w:val="none"/>
          <w:lang w:val="en-US" w:eastAsia="zh-CN"/>
        </w:rPr>
        <w:fldChar w:fldCharType="end"/>
      </w:r>
    </w:p>
    <w:p w14:paraId="54E62EDD">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_Toc22858 </w:instrText>
      </w:r>
      <w:r>
        <w:rPr>
          <w:rFonts w:hint="eastAsia"/>
          <w:highlight w:val="none"/>
          <w:lang w:val="en-US" w:eastAsia="zh-CN"/>
        </w:rPr>
        <w:fldChar w:fldCharType="separate"/>
      </w:r>
      <w:r>
        <w:rPr>
          <w:rFonts w:hint="eastAsia"/>
          <w:highlight w:val="none"/>
          <w:lang w:val="en-US" w:eastAsia="zh-CN"/>
        </w:rPr>
        <w:t>附录I （资料性）</w:t>
      </w:r>
      <w:r>
        <w:rPr>
          <w:rFonts w:hint="eastAsia"/>
          <w:highlight w:val="none"/>
          <w:lang w:val="en-US" w:eastAsia="zh-CN"/>
        </w:rPr>
        <w:t xml:space="preserve"> </w:t>
      </w:r>
      <w:r>
        <w:rPr>
          <w:rFonts w:hint="eastAsia"/>
          <w:highlight w:val="none"/>
          <w:lang w:val="en-US" w:eastAsia="zh-CN"/>
        </w:rPr>
        <w:t>钢便桥防护</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_Toc22858 \h </w:instrText>
      </w:r>
      <w:r>
        <w:rPr>
          <w:rFonts w:hint="eastAsia"/>
          <w:highlight w:val="none"/>
          <w:lang w:val="en-US" w:eastAsia="zh-CN"/>
        </w:rPr>
        <w:fldChar w:fldCharType="separate"/>
      </w:r>
      <w:r>
        <w:rPr>
          <w:rFonts w:hint="eastAsia"/>
          <w:highlight w:val="none"/>
          <w:lang w:val="en-US" w:eastAsia="zh-CN"/>
        </w:rPr>
        <w:t>35</w:t>
      </w:r>
      <w:r>
        <w:rPr>
          <w:rFonts w:hint="eastAsia"/>
          <w:highlight w:val="none"/>
          <w:lang w:val="en-US" w:eastAsia="zh-CN"/>
        </w:rPr>
        <w:fldChar w:fldCharType="end"/>
      </w:r>
      <w:r>
        <w:rPr>
          <w:rFonts w:hint="eastAsia"/>
          <w:highlight w:val="none"/>
          <w:lang w:val="en-US" w:eastAsia="zh-CN"/>
        </w:rPr>
        <w:fldChar w:fldCharType="end"/>
      </w:r>
    </w:p>
    <w:p w14:paraId="70036A88">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_Toc24703 </w:instrText>
      </w:r>
      <w:r>
        <w:rPr>
          <w:rFonts w:hint="eastAsia"/>
          <w:highlight w:val="none"/>
          <w:lang w:val="en-US" w:eastAsia="zh-CN"/>
        </w:rPr>
        <w:fldChar w:fldCharType="separate"/>
      </w:r>
      <w:r>
        <w:rPr>
          <w:rFonts w:hint="eastAsia"/>
          <w:highlight w:val="none"/>
          <w:lang w:val="en-US" w:eastAsia="zh-CN"/>
        </w:rPr>
        <w:t>附录J （资料性）</w:t>
      </w:r>
      <w:r>
        <w:rPr>
          <w:rFonts w:hint="eastAsia"/>
          <w:highlight w:val="none"/>
          <w:lang w:val="en-US" w:eastAsia="zh-CN"/>
        </w:rPr>
        <w:t xml:space="preserve"> </w:t>
      </w:r>
      <w:r>
        <w:rPr>
          <w:rFonts w:hint="eastAsia"/>
          <w:highlight w:val="none"/>
          <w:lang w:val="en-US" w:eastAsia="zh-CN"/>
        </w:rPr>
        <w:t>移动式防尘防噪</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_Toc24703 \h </w:instrText>
      </w:r>
      <w:r>
        <w:rPr>
          <w:rFonts w:hint="eastAsia"/>
          <w:highlight w:val="none"/>
          <w:lang w:val="en-US" w:eastAsia="zh-CN"/>
        </w:rPr>
        <w:fldChar w:fldCharType="separate"/>
      </w:r>
      <w:r>
        <w:rPr>
          <w:rFonts w:hint="eastAsia"/>
          <w:highlight w:val="none"/>
          <w:lang w:val="en-US" w:eastAsia="zh-CN"/>
        </w:rPr>
        <w:t>36</w:t>
      </w:r>
      <w:r>
        <w:rPr>
          <w:rFonts w:hint="eastAsia"/>
          <w:highlight w:val="none"/>
          <w:lang w:val="en-US" w:eastAsia="zh-CN"/>
        </w:rPr>
        <w:fldChar w:fldCharType="end"/>
      </w:r>
      <w:r>
        <w:rPr>
          <w:rFonts w:hint="eastAsia"/>
          <w:highlight w:val="none"/>
          <w:lang w:val="en-US" w:eastAsia="zh-CN"/>
        </w:rPr>
        <w:fldChar w:fldCharType="end"/>
      </w:r>
    </w:p>
    <w:p w14:paraId="1F41AF23">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_Toc13634 </w:instrText>
      </w:r>
      <w:r>
        <w:rPr>
          <w:rFonts w:hint="eastAsia"/>
          <w:highlight w:val="none"/>
          <w:lang w:val="en-US" w:eastAsia="zh-CN"/>
        </w:rPr>
        <w:fldChar w:fldCharType="separate"/>
      </w:r>
      <w:r>
        <w:rPr>
          <w:rFonts w:hint="eastAsia"/>
          <w:highlight w:val="none"/>
          <w:lang w:val="en-US" w:eastAsia="zh-CN"/>
        </w:rPr>
        <w:t>附录K （资料性）</w:t>
      </w:r>
      <w:r>
        <w:rPr>
          <w:rFonts w:hint="eastAsia"/>
          <w:highlight w:val="none"/>
          <w:lang w:val="en-US" w:eastAsia="zh-CN"/>
        </w:rPr>
        <w:t xml:space="preserve"> </w:t>
      </w:r>
      <w:r>
        <w:rPr>
          <w:rFonts w:hint="eastAsia"/>
          <w:highlight w:val="none"/>
          <w:lang w:val="en-US" w:eastAsia="zh-CN"/>
        </w:rPr>
        <w:t>基坑（槽）支护</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_Toc13634 \h </w:instrText>
      </w:r>
      <w:r>
        <w:rPr>
          <w:rFonts w:hint="eastAsia"/>
          <w:highlight w:val="none"/>
          <w:lang w:val="en-US" w:eastAsia="zh-CN"/>
        </w:rPr>
        <w:fldChar w:fldCharType="separate"/>
      </w:r>
      <w:r>
        <w:rPr>
          <w:rFonts w:hint="eastAsia"/>
          <w:highlight w:val="none"/>
          <w:lang w:val="en-US" w:eastAsia="zh-CN"/>
        </w:rPr>
        <w:t>37</w:t>
      </w:r>
      <w:r>
        <w:rPr>
          <w:rFonts w:hint="eastAsia"/>
          <w:highlight w:val="none"/>
          <w:lang w:val="en-US" w:eastAsia="zh-CN"/>
        </w:rPr>
        <w:fldChar w:fldCharType="end"/>
      </w:r>
      <w:r>
        <w:rPr>
          <w:rFonts w:hint="eastAsia"/>
          <w:highlight w:val="none"/>
          <w:lang w:val="en-US" w:eastAsia="zh-CN"/>
        </w:rPr>
        <w:fldChar w:fldCharType="end"/>
      </w:r>
    </w:p>
    <w:p w14:paraId="0308D6B2">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_Toc11975 </w:instrText>
      </w:r>
      <w:r>
        <w:rPr>
          <w:rFonts w:hint="eastAsia"/>
          <w:highlight w:val="none"/>
          <w:lang w:val="en-US" w:eastAsia="zh-CN"/>
        </w:rPr>
        <w:fldChar w:fldCharType="separate"/>
      </w:r>
      <w:r>
        <w:rPr>
          <w:rFonts w:hint="eastAsia"/>
          <w:highlight w:val="none"/>
          <w:lang w:val="en-US" w:eastAsia="zh-CN"/>
        </w:rPr>
        <w:t>附录L （资料性）</w:t>
      </w:r>
      <w:r>
        <w:rPr>
          <w:rFonts w:hint="eastAsia"/>
          <w:highlight w:val="none"/>
          <w:lang w:val="en-US" w:eastAsia="zh-CN"/>
        </w:rPr>
        <w:t xml:space="preserve"> </w:t>
      </w:r>
      <w:r>
        <w:rPr>
          <w:rFonts w:hint="eastAsia"/>
          <w:highlight w:val="none"/>
          <w:lang w:val="en-US" w:eastAsia="zh-CN"/>
        </w:rPr>
        <w:t>动火作业</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_Toc11975 \h </w:instrText>
      </w:r>
      <w:r>
        <w:rPr>
          <w:rFonts w:hint="eastAsia"/>
          <w:highlight w:val="none"/>
          <w:lang w:val="en-US" w:eastAsia="zh-CN"/>
        </w:rPr>
        <w:fldChar w:fldCharType="separate"/>
      </w:r>
      <w:r>
        <w:rPr>
          <w:rFonts w:hint="eastAsia"/>
          <w:highlight w:val="none"/>
          <w:lang w:val="en-US" w:eastAsia="zh-CN"/>
        </w:rPr>
        <w:t>38</w:t>
      </w:r>
      <w:r>
        <w:rPr>
          <w:rFonts w:hint="eastAsia"/>
          <w:highlight w:val="none"/>
          <w:lang w:val="en-US" w:eastAsia="zh-CN"/>
        </w:rPr>
        <w:fldChar w:fldCharType="end"/>
      </w:r>
      <w:r>
        <w:rPr>
          <w:rFonts w:hint="eastAsia"/>
          <w:highlight w:val="none"/>
          <w:lang w:val="en-US" w:eastAsia="zh-CN"/>
        </w:rPr>
        <w:fldChar w:fldCharType="end"/>
      </w:r>
    </w:p>
    <w:p w14:paraId="6C2A159A">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_Toc30208 </w:instrText>
      </w:r>
      <w:r>
        <w:rPr>
          <w:rFonts w:hint="eastAsia"/>
          <w:highlight w:val="none"/>
          <w:lang w:val="en-US" w:eastAsia="zh-CN"/>
        </w:rPr>
        <w:fldChar w:fldCharType="separate"/>
      </w:r>
      <w:r>
        <w:rPr>
          <w:rFonts w:hint="eastAsia"/>
          <w:highlight w:val="none"/>
          <w:lang w:val="en-US" w:eastAsia="zh-CN"/>
        </w:rPr>
        <w:t>附录M （资料性）</w:t>
      </w:r>
      <w:r>
        <w:rPr>
          <w:rFonts w:hint="eastAsia"/>
          <w:highlight w:val="none"/>
          <w:lang w:val="en-US" w:eastAsia="zh-CN"/>
        </w:rPr>
        <w:t xml:space="preserve"> </w:t>
      </w:r>
      <w:r>
        <w:rPr>
          <w:rFonts w:hint="eastAsia"/>
          <w:highlight w:val="none"/>
          <w:lang w:val="en-US" w:eastAsia="zh-CN"/>
        </w:rPr>
        <w:t>临时用电</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_Toc30208 \h </w:instrText>
      </w:r>
      <w:r>
        <w:rPr>
          <w:rFonts w:hint="eastAsia"/>
          <w:highlight w:val="none"/>
          <w:lang w:val="en-US" w:eastAsia="zh-CN"/>
        </w:rPr>
        <w:fldChar w:fldCharType="separate"/>
      </w:r>
      <w:r>
        <w:rPr>
          <w:rFonts w:hint="eastAsia"/>
          <w:highlight w:val="none"/>
          <w:lang w:val="en-US" w:eastAsia="zh-CN"/>
        </w:rPr>
        <w:t>39</w:t>
      </w:r>
      <w:r>
        <w:rPr>
          <w:rFonts w:hint="eastAsia"/>
          <w:highlight w:val="none"/>
          <w:lang w:val="en-US" w:eastAsia="zh-CN"/>
        </w:rPr>
        <w:fldChar w:fldCharType="end"/>
      </w:r>
      <w:r>
        <w:rPr>
          <w:rFonts w:hint="eastAsia"/>
          <w:highlight w:val="none"/>
          <w:lang w:val="en-US" w:eastAsia="zh-CN"/>
        </w:rPr>
        <w:fldChar w:fldCharType="end"/>
      </w:r>
    </w:p>
    <w:p w14:paraId="01787F98">
      <w:pPr>
        <w:pStyle w:val="19"/>
        <w:tabs>
          <w:tab w:val="right" w:leader="dot" w:pos="9354"/>
        </w:tabs>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\l _Toc29546 </w:instrText>
      </w:r>
      <w:r>
        <w:rPr>
          <w:rFonts w:hint="eastAsia"/>
          <w:highlight w:val="none"/>
          <w:lang w:val="en-US" w:eastAsia="zh-CN"/>
        </w:rPr>
        <w:fldChar w:fldCharType="separate"/>
      </w:r>
      <w:r>
        <w:rPr>
          <w:rFonts w:hint="eastAsia"/>
          <w:highlight w:val="none"/>
          <w:lang w:val="en-US" w:eastAsia="zh-CN"/>
        </w:rPr>
        <w:t>参考文献</w:t>
      </w:r>
      <w:r>
        <w:rPr>
          <w:rFonts w:hint="eastAsia"/>
          <w:highlight w:val="none"/>
          <w:lang w:val="en-US" w:eastAsia="zh-CN"/>
        </w:rPr>
        <w:tab/>
      </w:r>
      <w:r>
        <w:rPr>
          <w:rFonts w:hint="eastAsia"/>
          <w:highlight w:val="none"/>
          <w:lang w:val="en-US" w:eastAsia="zh-CN"/>
        </w:rPr>
        <w:fldChar w:fldCharType="begin"/>
      </w:r>
      <w:r>
        <w:rPr>
          <w:rFonts w:hint="eastAsia"/>
          <w:highlight w:val="none"/>
          <w:lang w:val="en-US" w:eastAsia="zh-CN"/>
        </w:rPr>
        <w:instrText xml:space="preserve"> PAGEREF _Toc29546 \h </w:instrText>
      </w:r>
      <w:r>
        <w:rPr>
          <w:rFonts w:hint="eastAsia"/>
          <w:highlight w:val="none"/>
          <w:lang w:val="en-US" w:eastAsia="zh-CN"/>
        </w:rPr>
        <w:fldChar w:fldCharType="separate"/>
      </w:r>
      <w:r>
        <w:rPr>
          <w:rFonts w:hint="eastAsia"/>
          <w:highlight w:val="none"/>
          <w:lang w:val="en-US" w:eastAsia="zh-CN"/>
        </w:rPr>
        <w:t>40</w:t>
      </w:r>
      <w:r>
        <w:rPr>
          <w:rFonts w:hint="eastAsia"/>
          <w:highlight w:val="none"/>
          <w:lang w:val="en-US" w:eastAsia="zh-CN"/>
        </w:rPr>
        <w:fldChar w:fldCharType="end"/>
      </w:r>
      <w:r>
        <w:rPr>
          <w:rFonts w:hint="eastAsia"/>
          <w:highlight w:val="none"/>
          <w:lang w:val="en-US" w:eastAsia="zh-CN"/>
        </w:rPr>
        <w:fldChar w:fldCharType="end"/>
      </w:r>
    </w:p>
    <w:p w14:paraId="5B104AFB">
      <w:pPr>
        <w:pStyle w:val="92"/>
        <w:spacing w:after="36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1"/>
    <w:p w14:paraId="1B196FE1">
      <w:pPr>
        <w:pStyle w:val="90"/>
        <w:spacing w:before="900" w:after="360"/>
      </w:pPr>
      <w:bookmarkStart w:id="22" w:name="_Toc21933"/>
      <w:bookmarkStart w:id="23" w:name="BookMark2"/>
      <w:r>
        <w:rPr>
          <w:spacing w:val="320"/>
        </w:rPr>
        <w:t>前</w:t>
      </w:r>
      <w:r>
        <w:t>言</w:t>
      </w:r>
      <w:bookmarkEnd w:id="22"/>
    </w:p>
    <w:p w14:paraId="6F1A74C3">
      <w:pPr>
        <w:pStyle w:val="57"/>
        <w:ind w:firstLine="420"/>
        <w:rPr>
          <w:rFonts w:hint="eastAsia"/>
        </w:rPr>
      </w:pPr>
      <w:r>
        <w:rPr>
          <w:rFonts w:hint="eastAsia"/>
        </w:rPr>
        <w:t>本文件按照GB/T 1.1—2020《标准化工作导则  第1部分：标准化文件的结构和起草规则》的规定起草。</w:t>
      </w:r>
    </w:p>
    <w:p w14:paraId="5B1D7E06">
      <w:pPr>
        <w:pStyle w:val="57"/>
        <w:ind w:firstLine="420"/>
        <w:rPr>
          <w:rFonts w:hint="eastAsia"/>
        </w:rPr>
      </w:pPr>
      <w:r>
        <w:rPr>
          <w:rFonts w:hint="eastAsia"/>
        </w:rPr>
        <w:t>本文件由北京市热力集团有限责任公司提出。</w:t>
      </w:r>
    </w:p>
    <w:p w14:paraId="157888F2">
      <w:pPr>
        <w:pStyle w:val="57"/>
        <w:ind w:firstLine="420"/>
        <w:rPr>
          <w:rFonts w:hint="eastAsia"/>
        </w:rPr>
      </w:pPr>
      <w:r>
        <w:rPr>
          <w:rFonts w:hint="eastAsia"/>
        </w:rPr>
        <w:t>本文件由</w:t>
      </w:r>
      <w:r>
        <w:rPr>
          <w:rFonts w:hint="eastAsia"/>
          <w:lang w:val="en-US" w:eastAsia="zh-CN"/>
        </w:rPr>
        <w:t>北京市供热协会</w:t>
      </w:r>
      <w:r>
        <w:rPr>
          <w:rFonts w:hint="eastAsia"/>
        </w:rPr>
        <w:t>归口。</w:t>
      </w:r>
    </w:p>
    <w:p w14:paraId="4C2A5A72">
      <w:pPr>
        <w:pStyle w:val="57"/>
        <w:ind w:firstLine="420"/>
        <w:rPr>
          <w:rFonts w:hint="eastAsia"/>
        </w:rPr>
      </w:pPr>
      <w:r>
        <w:rPr>
          <w:rFonts w:hint="eastAsia"/>
        </w:rPr>
        <w:t>本文件起草单位：北京市热力集团有限责任公司、北京市热力工程设计有限责任公司、北京市供热协会、北京市政建设集团有限责任公司、北京住总集团有限责任公司、北京首开城市运营服务集团有限公司</w:t>
      </w:r>
    </w:p>
    <w:p w14:paraId="0FDC998A">
      <w:pPr>
        <w:pStyle w:val="57"/>
        <w:ind w:firstLine="420"/>
        <w:rPr>
          <w:rFonts w:hint="eastAsia" w:eastAsia="宋体"/>
          <w:lang w:eastAsia="zh-CN"/>
        </w:rPr>
      </w:pPr>
      <w:r>
        <w:rPr>
          <w:rFonts w:hint="eastAsia"/>
        </w:rPr>
        <w:t>本文件主要起草人：宋磊、李朔、许红、王莉莉、谢红伟、孙凤娟、王玉国、石英、朱洪彬、张玉成、郝鹏慧、郁辰文、雷紫超、杨皓明、李晓琳</w:t>
      </w:r>
      <w:r>
        <w:rPr>
          <w:rFonts w:hint="eastAsia"/>
          <w:lang w:eastAsia="zh-CN"/>
        </w:rPr>
        <w:t>。</w:t>
      </w:r>
    </w:p>
    <w:p w14:paraId="1CFAF99C">
      <w:pPr>
        <w:pStyle w:val="57"/>
        <w:ind w:firstLine="420"/>
      </w:pPr>
      <w:bookmarkStart w:id="101" w:name="_GoBack"/>
      <w:bookmarkEnd w:id="101"/>
    </w:p>
    <w:p w14:paraId="220DBA6D">
      <w:pPr>
        <w:pStyle w:val="57"/>
        <w:numPr>
          <w:ilvl w:val="0"/>
          <w:numId w:val="0"/>
        </w:numPr>
        <w:tabs>
          <w:tab w:val="left" w:pos="312"/>
        </w:tabs>
        <w:autoSpaceDE w:val="0"/>
        <w:autoSpaceDN w:val="0"/>
        <w:jc w:val="both"/>
        <w:rPr>
          <w:rFonts w:hint="eastAsia"/>
          <w:highlight w:val="red"/>
          <w:lang w:val="en-US" w:eastAsia="zh-CN"/>
        </w:rPr>
      </w:pPr>
    </w:p>
    <w:p w14:paraId="1398E969">
      <w:pPr>
        <w:pStyle w:val="57"/>
        <w:numPr>
          <w:ilvl w:val="0"/>
          <w:numId w:val="0"/>
        </w:numPr>
        <w:tabs>
          <w:tab w:val="left" w:pos="312"/>
        </w:tabs>
        <w:autoSpaceDE w:val="0"/>
        <w:autoSpaceDN w:val="0"/>
        <w:jc w:val="both"/>
        <w:rPr>
          <w:rFonts w:hint="default"/>
          <w:highlight w:val="red"/>
          <w:lang w:val="en-US" w:eastAsia="zh-CN"/>
        </w:rPr>
        <w:sectPr>
          <w:pgSz w:w="11906" w:h="16838"/>
          <w:pgMar w:top="1928" w:right="1134" w:bottom="1134" w:left="1134" w:header="1418" w:footer="1134" w:gutter="284"/>
          <w:pgNumType w:fmt="upperRoman"/>
          <w:cols w:space="425" w:num="1"/>
          <w:formProt w:val="0"/>
          <w:docGrid w:linePitch="312" w:charSpace="0"/>
        </w:sectPr>
      </w:pPr>
    </w:p>
    <w:bookmarkEnd w:id="23"/>
    <w:p w14:paraId="2455E4FD">
      <w:pPr>
        <w:spacing w:line="20" w:lineRule="exact"/>
        <w:jc w:val="center"/>
        <w:rPr>
          <w:rFonts w:hint="eastAsia" w:ascii="黑体" w:hAnsi="黑体" w:eastAsia="黑体"/>
          <w:sz w:val="32"/>
          <w:szCs w:val="32"/>
        </w:rPr>
      </w:pPr>
      <w:bookmarkStart w:id="24" w:name="BookMark4"/>
    </w:p>
    <w:p w14:paraId="0E3E74C3">
      <w:pPr>
        <w:spacing w:line="20" w:lineRule="exact"/>
        <w:jc w:val="center"/>
        <w:rPr>
          <w:rFonts w:hint="eastAsia" w:ascii="黑体" w:hAnsi="黑体" w:eastAsia="黑体"/>
          <w:sz w:val="32"/>
          <w:szCs w:val="32"/>
        </w:rPr>
      </w:pPr>
    </w:p>
    <w:sdt>
      <w:sdtPr>
        <w:rPr>
          <w:highlight w:val="yellow"/>
        </w:rPr>
        <w:tag w:val="NEW_STAND_NAME"/>
        <w:id w:val="595910757"/>
        <w:lock w:val="sdtLocked"/>
        <w:placeholder>
          <w:docPart w:val="9267CFD435BE4AA68B415BDA9DE247D9"/>
        </w:placeholder>
      </w:sdtPr>
      <w:sdtEndPr>
        <w:rPr>
          <w:highlight w:val="yellow"/>
        </w:rPr>
      </w:sdtEndPr>
      <w:sdtContent>
        <w:p w14:paraId="0D120ED2">
          <w:pPr>
            <w:pStyle w:val="178"/>
            <w:spacing w:before="2" w:beforeLines="1" w:after="528" w:afterLines="220"/>
            <w:rPr>
              <w:rFonts w:hint="eastAsia"/>
            </w:rPr>
          </w:pPr>
          <w:bookmarkStart w:id="25" w:name="NEW_STAND_NAME"/>
          <w:r>
            <w:rPr>
              <w:rFonts w:hint="eastAsia"/>
              <w:highlight w:val="none"/>
              <w:lang w:val="en-US" w:eastAsia="zh-CN"/>
            </w:rPr>
            <w:t>北京市</w:t>
          </w:r>
          <w:r>
            <w:rPr>
              <w:rFonts w:hint="eastAsia"/>
            </w:rPr>
            <w:t>供热工程施工现场安全生产标准化管理规范</w:t>
          </w:r>
        </w:p>
      </w:sdtContent>
    </w:sdt>
    <w:bookmarkEnd w:id="25"/>
    <w:p w14:paraId="08CF47B0">
      <w:pPr>
        <w:pStyle w:val="105"/>
        <w:spacing w:before="240" w:after="240"/>
      </w:pPr>
      <w:bookmarkStart w:id="26" w:name="_Toc26986771"/>
      <w:bookmarkStart w:id="27" w:name="_Toc26648465"/>
      <w:bookmarkStart w:id="28" w:name="_Toc24884211"/>
      <w:bookmarkStart w:id="29" w:name="_Toc97192964"/>
      <w:bookmarkStart w:id="30" w:name="_Toc17233333"/>
      <w:bookmarkStart w:id="31" w:name="_Toc24884218"/>
      <w:bookmarkStart w:id="32" w:name="_Toc26718930"/>
      <w:bookmarkStart w:id="33" w:name="_Toc17233325"/>
      <w:bookmarkStart w:id="34" w:name="_Toc26986530"/>
      <w:bookmarkStart w:id="35" w:name="_Toc2692"/>
      <w:r>
        <w:rPr>
          <w:rFonts w:hint="eastAsia"/>
        </w:rPr>
        <w:t>范围</w:t>
      </w:r>
      <w:bookmarkEnd w:id="26"/>
      <w:bookmarkEnd w:id="27"/>
      <w:bookmarkEnd w:id="28"/>
      <w:bookmarkEnd w:id="29"/>
      <w:bookmarkEnd w:id="30"/>
      <w:bookmarkEnd w:id="31"/>
      <w:bookmarkEnd w:id="32"/>
      <w:bookmarkEnd w:id="33"/>
      <w:bookmarkEnd w:id="34"/>
      <w:bookmarkEnd w:id="35"/>
    </w:p>
    <w:p w14:paraId="12FDE3A9">
      <w:pPr>
        <w:pStyle w:val="57"/>
        <w:ind w:firstLine="420"/>
        <w:rPr>
          <w:highlight w:val="none"/>
        </w:rPr>
      </w:pPr>
      <w:bookmarkStart w:id="36" w:name="_Toc24884219"/>
      <w:bookmarkStart w:id="37" w:name="_Toc26648466"/>
      <w:bookmarkStart w:id="38" w:name="_Toc24884212"/>
      <w:bookmarkStart w:id="39" w:name="_Toc17233326"/>
      <w:bookmarkStart w:id="40" w:name="_Toc17233334"/>
      <w:r>
        <w:rPr>
          <w:rFonts w:hint="eastAsia"/>
        </w:rPr>
        <w:t>本文件规定了新</w:t>
      </w:r>
      <w:r>
        <w:rPr>
          <w:rFonts w:hint="eastAsia"/>
          <w:highlight w:val="none"/>
        </w:rPr>
        <w:t>建、改扩建供热工程施工现场的安全管理、现场管理、作业管理及</w:t>
      </w:r>
      <w:r>
        <w:rPr>
          <w:rFonts w:hint="eastAsia"/>
          <w:highlight w:val="none"/>
          <w:lang w:val="en-US" w:eastAsia="zh-CN"/>
        </w:rPr>
        <w:t>现场视频监控管理</w:t>
      </w:r>
      <w:r>
        <w:rPr>
          <w:rFonts w:hint="eastAsia"/>
          <w:highlight w:val="none"/>
        </w:rPr>
        <w:t>的要求。</w:t>
      </w:r>
    </w:p>
    <w:p w14:paraId="05650D70">
      <w:pPr>
        <w:pStyle w:val="57"/>
        <w:ind w:firstLine="420"/>
        <w:rPr>
          <w:rFonts w:hint="default"/>
          <w:highlight w:val="none"/>
          <w:lang w:val="en-US" w:eastAsia="zh-CN"/>
        </w:rPr>
      </w:pPr>
      <w:r>
        <w:rPr>
          <w:rFonts w:hint="eastAsia"/>
          <w:highlight w:val="none"/>
          <w:lang w:eastAsia="zh-CN"/>
        </w:rPr>
        <w:t>本文件适用于</w:t>
      </w:r>
      <w:r>
        <w:rPr>
          <w:rFonts w:hint="eastAsia"/>
          <w:highlight w:val="none"/>
          <w:lang w:val="en-US" w:eastAsia="zh-CN"/>
        </w:rPr>
        <w:t>北京市</w:t>
      </w:r>
      <w:r>
        <w:rPr>
          <w:rFonts w:hint="eastAsia"/>
          <w:highlight w:val="none"/>
          <w:lang w:eastAsia="zh-CN"/>
        </w:rPr>
        <w:t>新建、改扩建供热工程项目施工现场的安全生产标准化管理。</w:t>
      </w:r>
      <w:r>
        <w:rPr>
          <w:rFonts w:hint="eastAsia"/>
          <w:highlight w:val="none"/>
          <w:lang w:val="en-US" w:eastAsia="zh-CN"/>
        </w:rPr>
        <w:t>供热项目场站内有相关现场安全管理标准的项目执行相关标准。</w:t>
      </w:r>
    </w:p>
    <w:p w14:paraId="56B36472">
      <w:pPr>
        <w:pStyle w:val="105"/>
        <w:spacing w:before="240" w:after="240"/>
      </w:pPr>
      <w:bookmarkStart w:id="41" w:name="_Toc26986531"/>
      <w:bookmarkStart w:id="42" w:name="_Toc26986772"/>
      <w:bookmarkStart w:id="43" w:name="_Toc26718931"/>
      <w:bookmarkStart w:id="44" w:name="_Toc97192965"/>
      <w:bookmarkStart w:id="45" w:name="_Toc29272"/>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D3C417C1D3CB4678A1E3719987D013A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3B2151DD">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43BB0097">
      <w:pPr>
        <w:pStyle w:val="57"/>
        <w:ind w:firstLine="420"/>
        <w:rPr>
          <w:color w:val="auto"/>
        </w:rPr>
      </w:pPr>
      <w:r>
        <w:rPr>
          <w:rFonts w:hint="eastAsia"/>
          <w:color w:val="auto"/>
        </w:rPr>
        <w:t>GB 2811  头部防护安全帽</w:t>
      </w:r>
    </w:p>
    <w:p w14:paraId="659DEB16">
      <w:pPr>
        <w:pStyle w:val="57"/>
        <w:ind w:firstLine="420"/>
        <w:rPr>
          <w:color w:val="auto"/>
        </w:rPr>
      </w:pPr>
      <w:r>
        <w:rPr>
          <w:rFonts w:hint="eastAsia"/>
          <w:color w:val="auto"/>
        </w:rPr>
        <w:t>GB 5725  坠落防护安全网</w:t>
      </w:r>
    </w:p>
    <w:p w14:paraId="0A6C2C66">
      <w:pPr>
        <w:pStyle w:val="57"/>
        <w:ind w:firstLine="420"/>
        <w:rPr>
          <w:rFonts w:hint="eastAsia"/>
          <w:color w:val="auto"/>
        </w:rPr>
      </w:pPr>
      <w:r>
        <w:rPr>
          <w:rFonts w:hint="eastAsia"/>
          <w:color w:val="auto"/>
        </w:rPr>
        <w:t>GB 6095  坠落防护安全带</w:t>
      </w:r>
    </w:p>
    <w:p w14:paraId="702D48A7">
      <w:pPr>
        <w:pStyle w:val="57"/>
        <w:ind w:firstLine="420"/>
        <w:rPr>
          <w:rFonts w:hint="eastAsia"/>
          <w:color w:val="auto"/>
        </w:rPr>
      </w:pPr>
      <w:r>
        <w:rPr>
          <w:rFonts w:hint="default"/>
          <w:color w:val="auto"/>
          <w:lang w:val="en-US" w:eastAsia="zh-CN"/>
        </w:rPr>
        <w:t>GB 8965.1</w:t>
      </w:r>
      <w:r>
        <w:rPr>
          <w:rFonts w:hint="eastAsia"/>
          <w:color w:val="auto"/>
          <w:lang w:val="en-US" w:eastAsia="zh-CN"/>
        </w:rPr>
        <w:t xml:space="preserve">  </w:t>
      </w:r>
      <w:r>
        <w:rPr>
          <w:rFonts w:hint="eastAsia"/>
          <w:color w:val="auto"/>
        </w:rPr>
        <w:t>防护服装 阻燃服</w:t>
      </w:r>
    </w:p>
    <w:p w14:paraId="49D18B1E">
      <w:pPr>
        <w:pStyle w:val="57"/>
        <w:ind w:firstLine="420"/>
        <w:rPr>
          <w:rFonts w:hint="default"/>
          <w:color w:val="auto"/>
          <w:lang w:val="en-US" w:eastAsia="zh-CN"/>
        </w:rPr>
      </w:pPr>
      <w:r>
        <w:rPr>
          <w:rFonts w:hint="eastAsia"/>
          <w:color w:val="auto"/>
        </w:rPr>
        <w:t>GB 12523</w:t>
      </w:r>
      <w:r>
        <w:rPr>
          <w:rFonts w:hint="eastAsia"/>
          <w:color w:val="auto"/>
          <w:lang w:val="en-US" w:eastAsia="zh-CN"/>
        </w:rPr>
        <w:t xml:space="preserve">  </w:t>
      </w:r>
      <w:r>
        <w:rPr>
          <w:rFonts w:hint="eastAsia"/>
          <w:color w:val="auto"/>
        </w:rPr>
        <w:t>建筑施工场界环境噪声排放标准</w:t>
      </w:r>
    </w:p>
    <w:p w14:paraId="4E4F4741">
      <w:pPr>
        <w:pStyle w:val="57"/>
        <w:ind w:firstLine="420"/>
        <w:rPr>
          <w:rFonts w:hint="eastAsia"/>
          <w:color w:val="auto"/>
        </w:rPr>
      </w:pPr>
      <w:r>
        <w:rPr>
          <w:rFonts w:hint="default"/>
          <w:color w:val="auto"/>
          <w:lang w:val="en-US" w:eastAsia="zh-CN"/>
        </w:rPr>
        <w:t>GB 21148</w:t>
      </w:r>
      <w:r>
        <w:rPr>
          <w:rFonts w:hint="eastAsia"/>
          <w:color w:val="auto"/>
          <w:lang w:val="en-US" w:eastAsia="zh-CN"/>
        </w:rPr>
        <w:t xml:space="preserve">  </w:t>
      </w:r>
      <w:r>
        <w:rPr>
          <w:rFonts w:hint="eastAsia"/>
          <w:color w:val="auto"/>
        </w:rPr>
        <w:t>足部防护 安全鞋</w:t>
      </w:r>
    </w:p>
    <w:p w14:paraId="574CA1D1">
      <w:pPr>
        <w:pStyle w:val="57"/>
        <w:ind w:firstLine="420"/>
        <w:rPr>
          <w:rFonts w:hint="default"/>
          <w:color w:val="auto"/>
          <w:lang w:val="en-US" w:eastAsia="zh-CN"/>
        </w:rPr>
      </w:pPr>
      <w:r>
        <w:rPr>
          <w:rFonts w:hint="eastAsia"/>
          <w:color w:val="auto"/>
          <w:lang w:eastAsia="zh-CN"/>
        </w:rPr>
        <w:t>GB/T</w:t>
      </w:r>
      <w:r>
        <w:rPr>
          <w:rFonts w:hint="eastAsia"/>
          <w:color w:val="auto"/>
          <w:lang w:val="en-US" w:eastAsia="zh-CN"/>
        </w:rPr>
        <w:t xml:space="preserve"> </w:t>
      </w:r>
      <w:r>
        <w:rPr>
          <w:rFonts w:hint="eastAsia"/>
          <w:color w:val="auto"/>
          <w:lang w:eastAsia="zh-CN"/>
        </w:rPr>
        <w:t>28181</w:t>
      </w:r>
      <w:r>
        <w:rPr>
          <w:rFonts w:hint="eastAsia"/>
          <w:color w:val="auto"/>
          <w:lang w:val="en-US" w:eastAsia="zh-CN"/>
        </w:rPr>
        <w:t xml:space="preserve">  </w:t>
      </w:r>
      <w:r>
        <w:rPr>
          <w:rFonts w:hint="eastAsia"/>
          <w:color w:val="auto"/>
        </w:rPr>
        <w:t>公共安全视频监控联网系统信息传输、交换、控制技术要求</w:t>
      </w:r>
    </w:p>
    <w:p w14:paraId="05CD7DC1">
      <w:pPr>
        <w:pStyle w:val="57"/>
        <w:ind w:firstLine="420"/>
        <w:rPr>
          <w:rFonts w:hint="default"/>
          <w:color w:val="auto"/>
          <w:lang w:val="en-US" w:eastAsia="zh-CN"/>
        </w:rPr>
      </w:pPr>
      <w:r>
        <w:rPr>
          <w:rFonts w:hint="default"/>
          <w:color w:val="auto"/>
          <w:lang w:val="en-US" w:eastAsia="zh-CN"/>
        </w:rPr>
        <w:t>GB/T 38306</w:t>
      </w:r>
      <w:r>
        <w:rPr>
          <w:rFonts w:hint="eastAsia"/>
          <w:color w:val="auto"/>
          <w:lang w:val="en-US" w:eastAsia="zh-CN"/>
        </w:rPr>
        <w:t xml:space="preserve">  </w:t>
      </w:r>
      <w:r>
        <w:rPr>
          <w:rFonts w:hint="eastAsia"/>
          <w:color w:val="auto"/>
        </w:rPr>
        <w:t>手部防护 防热伤害手套</w:t>
      </w:r>
    </w:p>
    <w:p w14:paraId="0550F433">
      <w:pPr>
        <w:pStyle w:val="57"/>
        <w:ind w:firstLine="420"/>
        <w:rPr>
          <w:rFonts w:hint="eastAsia"/>
          <w:color w:val="auto"/>
        </w:rPr>
      </w:pPr>
      <w:r>
        <w:rPr>
          <w:rFonts w:hint="eastAsia"/>
          <w:color w:val="auto"/>
        </w:rPr>
        <w:t>GB 50021</w:t>
      </w:r>
      <w:r>
        <w:rPr>
          <w:rFonts w:hint="eastAsia"/>
          <w:color w:val="auto"/>
          <w:lang w:val="en-US" w:eastAsia="zh-CN"/>
        </w:rPr>
        <w:t xml:space="preserve">  </w:t>
      </w:r>
      <w:r>
        <w:rPr>
          <w:rFonts w:hint="eastAsia"/>
          <w:color w:val="auto"/>
        </w:rPr>
        <w:t>岩土工程勘察规范</w:t>
      </w:r>
    </w:p>
    <w:p w14:paraId="65CD90CE">
      <w:pPr>
        <w:pStyle w:val="57"/>
        <w:ind w:firstLine="420"/>
        <w:rPr>
          <w:color w:val="auto"/>
        </w:rPr>
      </w:pPr>
      <w:r>
        <w:rPr>
          <w:rFonts w:hint="eastAsia"/>
          <w:color w:val="auto"/>
        </w:rPr>
        <w:t>GB 50720  建设工程施工现场消防安全技术规范</w:t>
      </w:r>
    </w:p>
    <w:p w14:paraId="1A39230D">
      <w:pPr>
        <w:pStyle w:val="57"/>
        <w:ind w:firstLine="420"/>
        <w:rPr>
          <w:rFonts w:hint="eastAsia"/>
          <w:color w:val="auto"/>
        </w:rPr>
      </w:pPr>
      <w:r>
        <w:rPr>
          <w:rFonts w:hint="eastAsia"/>
          <w:color w:val="auto"/>
        </w:rPr>
        <w:t>GB 55010  供热工程项目规范</w:t>
      </w:r>
    </w:p>
    <w:p w14:paraId="36E1351E">
      <w:pPr>
        <w:pStyle w:val="57"/>
        <w:ind w:firstLine="420"/>
        <w:rPr>
          <w:rFonts w:hint="eastAsia"/>
          <w:color w:val="auto"/>
        </w:rPr>
      </w:pPr>
      <w:r>
        <w:rPr>
          <w:rFonts w:hint="eastAsia"/>
          <w:color w:val="auto"/>
        </w:rPr>
        <w:t>JGJ/T 46  建筑与市政工程施工现场临时用电安全技术标准</w:t>
      </w:r>
    </w:p>
    <w:p w14:paraId="76667C1A">
      <w:pPr>
        <w:pStyle w:val="57"/>
        <w:ind w:firstLine="420"/>
        <w:rPr>
          <w:rFonts w:hint="eastAsia"/>
          <w:color w:val="auto"/>
        </w:rPr>
      </w:pPr>
      <w:r>
        <w:rPr>
          <w:rFonts w:hint="eastAsia"/>
          <w:color w:val="auto"/>
        </w:rPr>
        <w:t xml:space="preserve">JGJ/T </w:t>
      </w:r>
      <w:r>
        <w:rPr>
          <w:rFonts w:hint="eastAsia"/>
          <w:color w:val="auto"/>
          <w:lang w:val="en-US" w:eastAsia="zh-CN"/>
        </w:rPr>
        <w:t>80</w:t>
      </w:r>
      <w:r>
        <w:rPr>
          <w:rFonts w:hint="eastAsia"/>
          <w:color w:val="auto"/>
        </w:rPr>
        <w:t xml:space="preserve">  建筑施工高处作业安全技术规范</w:t>
      </w:r>
    </w:p>
    <w:p w14:paraId="1F34F665">
      <w:pPr>
        <w:pStyle w:val="57"/>
        <w:ind w:firstLine="420"/>
        <w:rPr>
          <w:rFonts w:hint="eastAsia"/>
          <w:color w:val="auto"/>
        </w:rPr>
      </w:pPr>
      <w:r>
        <w:rPr>
          <w:rFonts w:hint="eastAsia"/>
          <w:color w:val="auto"/>
        </w:rPr>
        <w:t>DB11/T 854  占道作业交通安全设施设置技术要求</w:t>
      </w:r>
    </w:p>
    <w:p w14:paraId="63735998">
      <w:pPr>
        <w:pStyle w:val="105"/>
        <w:spacing w:before="240" w:after="240"/>
      </w:pPr>
      <w:bookmarkStart w:id="46" w:name="_Toc97192966"/>
      <w:bookmarkStart w:id="47" w:name="_Toc15364"/>
      <w:r>
        <w:rPr>
          <w:rFonts w:hint="eastAsia"/>
          <w:szCs w:val="21"/>
        </w:rPr>
        <w:t>术语和定义</w:t>
      </w:r>
      <w:bookmarkEnd w:id="46"/>
      <w:bookmarkEnd w:id="47"/>
    </w:p>
    <w:p w14:paraId="5B4119F2">
      <w:pPr>
        <w:pStyle w:val="57"/>
        <w:ind w:firstLine="420"/>
        <w:rPr>
          <w:rFonts w:hint="eastAsia" w:ascii="黑体" w:hAnsi="黑体" w:eastAsia="黑体"/>
        </w:rPr>
      </w:pPr>
      <w:sdt>
        <w:sdtPr>
          <w:id w:val="-1909835108"/>
          <w:placeholder>
            <w:docPart w:val="151627FADCB948BCA127F051A6C6700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bookmarkStart w:id="48" w:name="_Toc26986532"/>
          <w:bookmarkEnd w:id="48"/>
          <w:r>
            <w:t>下列术语和定义适用于本文件。</w:t>
          </w:r>
        </w:sdtContent>
      </w:sdt>
    </w:p>
    <w:p w14:paraId="6B8D512C">
      <w:pPr>
        <w:pStyle w:val="224"/>
        <w:ind w:left="420" w:hanging="420" w:hangingChars="200"/>
        <w:rPr>
          <w:rFonts w:hint="eastAsia" w:ascii="黑体" w:hAnsi="黑体" w:eastAsia="黑体"/>
        </w:rPr>
      </w:pPr>
    </w:p>
    <w:p w14:paraId="276FF348">
      <w:pPr>
        <w:pStyle w:val="57"/>
        <w:ind w:firstLine="420"/>
        <w:rPr>
          <w:rFonts w:hint="eastAsia" w:ascii="黑体" w:hAnsi="黑体" w:eastAsia="黑体"/>
        </w:rPr>
      </w:pPr>
      <w:r>
        <w:rPr>
          <w:rFonts w:hint="eastAsia" w:ascii="黑体" w:hAnsi="黑体" w:eastAsia="黑体"/>
        </w:rPr>
        <w:t>钢便桥 temporary steel bridge</w:t>
      </w:r>
    </w:p>
    <w:p w14:paraId="5DFC559C">
      <w:pPr>
        <w:pStyle w:val="231"/>
        <w:rPr>
          <w:rFonts w:hint="eastAsia" w:hAnsi="宋体"/>
          <w:lang w:eastAsia="zh-CN"/>
        </w:rPr>
      </w:pPr>
      <w:r>
        <w:rPr>
          <w:rFonts w:hint="eastAsia" w:hAnsi="宋体"/>
          <w:lang w:eastAsia="zh-CN"/>
        </w:rPr>
        <w:t>一种以钢材为主要结构材料建造，用于满足人员、车辆等临时通行需求的桥梁结构。其设计具有明确的临时性、可拆装性和结构简化特征，通常由钢梁、桥面系、支墩或墩台等主体构件组成，必要时可设置防护栏杆等附属设施，以保障通行安全。</w:t>
      </w:r>
    </w:p>
    <w:p w14:paraId="165C798A">
      <w:pPr>
        <w:pStyle w:val="224"/>
        <w:ind w:left="420" w:hanging="420" w:hangingChars="200"/>
        <w:rPr>
          <w:rFonts w:hint="eastAsia" w:hAnsi="宋体"/>
          <w:lang w:eastAsia="zh-CN"/>
        </w:rPr>
      </w:pPr>
    </w:p>
    <w:p w14:paraId="2F888970">
      <w:pPr>
        <w:pStyle w:val="57"/>
        <w:ind w:firstLine="420"/>
        <w:rPr>
          <w:rFonts w:hint="eastAsia" w:ascii="黑体" w:hAnsi="黑体" w:eastAsia="黑体"/>
        </w:rPr>
      </w:pPr>
      <w:r>
        <w:rPr>
          <w:rFonts w:hint="eastAsia" w:ascii="黑体" w:hAnsi="黑体" w:eastAsia="黑体"/>
        </w:rPr>
        <w:t>供热工程施工现场安全生产标准化</w:t>
      </w:r>
      <w:r>
        <w:rPr>
          <w:rFonts w:hint="eastAsia" w:ascii="黑体" w:hAnsi="黑体" w:eastAsia="黑体"/>
          <w:lang w:val="en-US" w:eastAsia="zh-CN"/>
        </w:rPr>
        <w:t xml:space="preserve"> w</w:t>
      </w:r>
      <w:r>
        <w:rPr>
          <w:rFonts w:hint="eastAsia" w:ascii="黑体" w:hAnsi="黑体" w:eastAsia="黑体"/>
        </w:rPr>
        <w:t>ork safety standardization for construction sites of heating engineering</w:t>
      </w:r>
    </w:p>
    <w:p w14:paraId="527FB973">
      <w:pPr>
        <w:pStyle w:val="231"/>
        <w:rPr>
          <w:rFonts w:hint="eastAsia" w:hAnsi="宋体"/>
          <w:lang w:eastAsia="zh-CN"/>
        </w:rPr>
      </w:pPr>
      <w:r>
        <w:rPr>
          <w:rFonts w:hint="eastAsia" w:hAnsi="宋体"/>
          <w:lang w:eastAsia="zh-CN"/>
        </w:rPr>
        <w:t>在供热工程施工现场，通过建立安全生产责任制、制定安全管理制度和操作规程、实施风险分级管控与隐患排查治理、规范人员作业行为等措施，使施工现场各环节符合安全生产法律法规和标准规范要求，并持续改进的管理活动。</w:t>
      </w:r>
    </w:p>
    <w:p w14:paraId="7BCB24BB">
      <w:pPr>
        <w:pStyle w:val="224"/>
        <w:ind w:left="420" w:hanging="420" w:hangingChars="200"/>
        <w:rPr>
          <w:rFonts w:hint="eastAsia" w:hAnsi="宋体"/>
          <w:lang w:eastAsia="zh-CN"/>
        </w:rPr>
      </w:pPr>
    </w:p>
    <w:p w14:paraId="52FD94AF">
      <w:pPr>
        <w:pStyle w:val="57"/>
        <w:ind w:firstLine="420"/>
        <w:rPr>
          <w:rFonts w:hint="default" w:ascii="黑体" w:hAnsi="黑体" w:eastAsia="黑体"/>
        </w:rPr>
      </w:pPr>
      <w:r>
        <w:rPr>
          <w:rFonts w:hint="eastAsia" w:ascii="黑体" w:hAnsi="黑体" w:eastAsia="黑体"/>
        </w:rPr>
        <w:t>参建单位</w:t>
      </w:r>
      <w:r>
        <w:rPr>
          <w:rFonts w:hint="eastAsia" w:ascii="黑体" w:hAnsi="黑体" w:eastAsia="黑体"/>
          <w:lang w:val="en-US" w:eastAsia="zh-CN"/>
        </w:rPr>
        <w:t xml:space="preserve"> </w:t>
      </w:r>
      <w:r>
        <w:rPr>
          <w:rFonts w:hint="default" w:ascii="黑体" w:hAnsi="黑体" w:eastAsia="黑体"/>
        </w:rPr>
        <w:t>parties involved in construction</w:t>
      </w:r>
    </w:p>
    <w:p w14:paraId="43FA5F12">
      <w:pPr>
        <w:pStyle w:val="231"/>
        <w:rPr>
          <w:rFonts w:hint="eastAsia" w:hAnsi="宋体"/>
          <w:lang w:eastAsia="zh-CN"/>
        </w:rPr>
      </w:pPr>
      <w:r>
        <w:rPr>
          <w:rFonts w:hint="eastAsia" w:hAnsi="宋体"/>
          <w:lang w:eastAsia="zh-CN"/>
        </w:rPr>
        <w:t>参与供热工程建设活动的单位，包括建设单位、勘察单位、设计单位、施工单位、监理单位、检测单位、监测单位以及其他与施工现场安全生产有关的单位。</w:t>
      </w:r>
    </w:p>
    <w:p w14:paraId="6C1E9793">
      <w:pPr>
        <w:pStyle w:val="224"/>
        <w:ind w:left="420" w:hanging="420" w:hangingChars="200"/>
        <w:rPr>
          <w:rFonts w:hint="eastAsia" w:hAnsi="宋体"/>
          <w:lang w:val="en-US" w:eastAsia="zh-CN"/>
        </w:rPr>
      </w:pPr>
    </w:p>
    <w:p w14:paraId="4B2B06D1">
      <w:pPr>
        <w:pStyle w:val="57"/>
        <w:ind w:firstLine="420"/>
        <w:rPr>
          <w:rFonts w:hint="default" w:ascii="黑体" w:hAnsi="黑体" w:eastAsia="黑体"/>
          <w:lang w:val="en-US" w:eastAsia="zh-CN"/>
        </w:rPr>
      </w:pPr>
      <w:r>
        <w:rPr>
          <w:rFonts w:hint="eastAsia" w:ascii="黑体" w:hAnsi="黑体" w:eastAsia="黑体"/>
          <w:lang w:val="en-US" w:eastAsia="zh-CN"/>
        </w:rPr>
        <w:t>新建供热工程 n</w:t>
      </w:r>
      <w:r>
        <w:rPr>
          <w:rFonts w:hint="default" w:ascii="黑体" w:hAnsi="黑体" w:eastAsia="黑体"/>
        </w:rPr>
        <w:t xml:space="preserve">ew </w:t>
      </w:r>
      <w:r>
        <w:rPr>
          <w:rFonts w:hint="eastAsia" w:ascii="黑体" w:hAnsi="黑体" w:eastAsia="黑体"/>
          <w:lang w:val="en-US" w:eastAsia="zh-CN"/>
        </w:rPr>
        <w:t>h</w:t>
      </w:r>
      <w:r>
        <w:rPr>
          <w:rFonts w:hint="default" w:ascii="黑体" w:hAnsi="黑体" w:eastAsia="黑体"/>
        </w:rPr>
        <w:t xml:space="preserve">eating </w:t>
      </w:r>
      <w:r>
        <w:rPr>
          <w:rFonts w:hint="eastAsia" w:ascii="黑体" w:hAnsi="黑体" w:eastAsia="黑体"/>
          <w:lang w:val="en-US" w:eastAsia="zh-CN"/>
        </w:rPr>
        <w:t>e</w:t>
      </w:r>
      <w:r>
        <w:rPr>
          <w:rFonts w:hint="default" w:ascii="黑体" w:hAnsi="黑体" w:eastAsia="黑体"/>
        </w:rPr>
        <w:t xml:space="preserve">ngineering </w:t>
      </w:r>
      <w:r>
        <w:rPr>
          <w:rFonts w:hint="eastAsia" w:ascii="黑体" w:hAnsi="黑体" w:eastAsia="黑体"/>
          <w:lang w:val="en-US" w:eastAsia="zh-CN"/>
        </w:rPr>
        <w:t>p</w:t>
      </w:r>
      <w:r>
        <w:rPr>
          <w:rFonts w:hint="default" w:ascii="黑体" w:hAnsi="黑体" w:eastAsia="黑体"/>
        </w:rPr>
        <w:t>roject</w:t>
      </w:r>
    </w:p>
    <w:p w14:paraId="43DAB407">
      <w:pPr>
        <w:pStyle w:val="231"/>
        <w:rPr>
          <w:rFonts w:hint="eastAsia" w:hAnsi="宋体"/>
          <w:lang w:val="en-US" w:eastAsia="zh-CN"/>
        </w:rPr>
      </w:pPr>
      <w:r>
        <w:rPr>
          <w:rFonts w:hint="default" w:hAnsi="宋体"/>
          <w:lang w:eastAsia="zh-CN"/>
        </w:rPr>
        <w:t>指新增供热系统或原无供热设施的建筑新增供热系统的工程。</w:t>
      </w:r>
    </w:p>
    <w:p w14:paraId="30AF4C3B">
      <w:pPr>
        <w:pStyle w:val="224"/>
        <w:ind w:left="420" w:hanging="420" w:hangingChars="200"/>
        <w:rPr>
          <w:rFonts w:hint="default" w:ascii="黑体" w:hAnsi="黑体" w:eastAsia="黑体"/>
          <w:color w:val="0000FF"/>
          <w:lang w:val="en-US" w:eastAsia="zh-CN"/>
        </w:rPr>
      </w:pPr>
    </w:p>
    <w:p w14:paraId="5DDA391F">
      <w:pPr>
        <w:pStyle w:val="57"/>
        <w:ind w:firstLine="420"/>
        <w:rPr>
          <w:rFonts w:hint="default" w:ascii="黑体" w:hAnsi="黑体" w:eastAsia="黑体"/>
          <w:lang w:val="en-US" w:eastAsia="zh-CN"/>
        </w:rPr>
      </w:pPr>
      <w:r>
        <w:rPr>
          <w:rFonts w:hint="eastAsia" w:ascii="黑体" w:hAnsi="黑体" w:eastAsia="黑体"/>
          <w:lang w:val="en-US" w:eastAsia="zh-CN"/>
        </w:rPr>
        <w:t>改扩建供热工程 r</w:t>
      </w:r>
      <w:r>
        <w:rPr>
          <w:rFonts w:hint="default" w:ascii="黑体" w:hAnsi="黑体" w:eastAsia="黑体"/>
        </w:rPr>
        <w:t xml:space="preserve">etrofit and </w:t>
      </w:r>
      <w:r>
        <w:rPr>
          <w:rFonts w:hint="eastAsia" w:ascii="黑体" w:hAnsi="黑体" w:eastAsia="黑体"/>
          <w:lang w:val="en-US" w:eastAsia="zh-CN"/>
        </w:rPr>
        <w:t>e</w:t>
      </w:r>
      <w:r>
        <w:rPr>
          <w:rFonts w:hint="default" w:ascii="黑体" w:hAnsi="黑体" w:eastAsia="黑体"/>
        </w:rPr>
        <w:t xml:space="preserve">xpansion of </w:t>
      </w:r>
      <w:r>
        <w:rPr>
          <w:rFonts w:hint="eastAsia" w:ascii="黑体" w:hAnsi="黑体" w:eastAsia="黑体"/>
          <w:lang w:val="en-US" w:eastAsia="zh-CN"/>
        </w:rPr>
        <w:t>h</w:t>
      </w:r>
      <w:r>
        <w:rPr>
          <w:rFonts w:hint="default" w:ascii="黑体" w:hAnsi="黑体" w:eastAsia="黑体"/>
        </w:rPr>
        <w:t xml:space="preserve">eating </w:t>
      </w:r>
      <w:r>
        <w:rPr>
          <w:rFonts w:hint="eastAsia" w:ascii="黑体" w:hAnsi="黑体" w:eastAsia="黑体"/>
          <w:lang w:val="en-US" w:eastAsia="zh-CN"/>
        </w:rPr>
        <w:t>e</w:t>
      </w:r>
      <w:r>
        <w:rPr>
          <w:rFonts w:hint="default" w:ascii="黑体" w:hAnsi="黑体" w:eastAsia="黑体"/>
        </w:rPr>
        <w:t xml:space="preserve">ngineering </w:t>
      </w:r>
      <w:r>
        <w:rPr>
          <w:rFonts w:hint="eastAsia" w:ascii="黑体" w:hAnsi="黑体" w:eastAsia="黑体"/>
          <w:lang w:val="en-US" w:eastAsia="zh-CN"/>
        </w:rPr>
        <w:t>p</w:t>
      </w:r>
      <w:r>
        <w:rPr>
          <w:rFonts w:hint="default" w:ascii="黑体" w:hAnsi="黑体" w:eastAsia="黑体"/>
        </w:rPr>
        <w:t>roject</w:t>
      </w:r>
    </w:p>
    <w:p w14:paraId="0C28C63C">
      <w:pPr>
        <w:pStyle w:val="231"/>
        <w:rPr>
          <w:rFonts w:hint="default" w:hAnsi="宋体"/>
          <w:lang w:val="en-US" w:eastAsia="zh-CN"/>
        </w:rPr>
      </w:pPr>
      <w:r>
        <w:rPr>
          <w:rFonts w:hint="default" w:hAnsi="宋体"/>
          <w:lang w:val="en-US" w:eastAsia="zh-CN"/>
        </w:rPr>
        <w:t>指对原有供热系统进行改造、扩建、功能提升或设备更新的工程</w:t>
      </w:r>
      <w:r>
        <w:rPr>
          <w:rFonts w:hint="eastAsia" w:hAnsi="宋体"/>
          <w:lang w:val="en-US" w:eastAsia="zh-CN"/>
        </w:rPr>
        <w:t>，</w:t>
      </w:r>
      <w:r>
        <w:rPr>
          <w:rFonts w:hint="default" w:hAnsi="宋体"/>
          <w:lang w:val="en-US" w:eastAsia="zh-CN"/>
        </w:rPr>
        <w:t>如锅炉房改造、管网扩容、清洁能源替代等。</w:t>
      </w:r>
    </w:p>
    <w:p w14:paraId="3F630ABB">
      <w:pPr>
        <w:pStyle w:val="224"/>
        <w:ind w:left="420" w:hanging="420" w:hangingChars="200"/>
        <w:rPr>
          <w:rFonts w:hint="eastAsia"/>
          <w:color w:val="FF0000"/>
          <w:highlight w:val="none"/>
          <w:lang w:val="en-US" w:eastAsia="zh-CN"/>
        </w:rPr>
      </w:pPr>
    </w:p>
    <w:p w14:paraId="4818B6B7">
      <w:pPr>
        <w:pStyle w:val="57"/>
        <w:ind w:firstLine="420"/>
        <w:rPr>
          <w:rFonts w:hint="default" w:ascii="黑体" w:hAnsi="黑体" w:eastAsia="黑体"/>
          <w:lang w:val="en-US" w:eastAsia="zh-CN"/>
        </w:rPr>
      </w:pPr>
      <w:r>
        <w:rPr>
          <w:rFonts w:hint="eastAsia" w:ascii="黑体" w:hAnsi="黑体" w:eastAsia="黑体"/>
          <w:lang w:val="en-US" w:eastAsia="zh-CN"/>
        </w:rPr>
        <w:t>有限空间作业场景 confined space work scenario</w:t>
      </w:r>
    </w:p>
    <w:p w14:paraId="4027BE06">
      <w:pPr>
        <w:pStyle w:val="231"/>
        <w:rPr>
          <w:rFonts w:hint="eastAsia" w:hAnsi="宋体"/>
          <w:lang w:val="en-US" w:eastAsia="zh-CN"/>
        </w:rPr>
      </w:pPr>
      <w:r>
        <w:rPr>
          <w:rFonts w:hint="eastAsia" w:hAnsi="宋体"/>
          <w:lang w:val="en-US" w:eastAsia="zh-CN"/>
        </w:rPr>
        <w:t>封闭或者部分封闭,未被设计为固定工作场所,人员可以进入作业,易造成有毒有害、易燃易爆物质积聚或者氧含量不足的空间。</w:t>
      </w:r>
    </w:p>
    <w:p w14:paraId="4EBB9258">
      <w:pPr>
        <w:pStyle w:val="224"/>
        <w:ind w:left="420" w:hanging="420" w:hangingChars="200"/>
        <w:rPr>
          <w:rFonts w:hint="eastAsia" w:hAnsi="宋体"/>
          <w:lang w:val="en-US" w:eastAsia="zh-CN"/>
        </w:rPr>
      </w:pPr>
    </w:p>
    <w:p w14:paraId="40D2869F">
      <w:pPr>
        <w:pStyle w:val="57"/>
        <w:ind w:firstLine="420"/>
        <w:rPr>
          <w:rFonts w:hint="eastAsia" w:ascii="黑体" w:hAnsi="黑体" w:eastAsia="黑体"/>
          <w:lang w:val="en-US" w:eastAsia="zh-CN"/>
        </w:rPr>
      </w:pPr>
      <w:r>
        <w:rPr>
          <w:rFonts w:hint="default" w:ascii="黑体" w:hAnsi="黑体" w:eastAsia="黑体"/>
          <w:lang w:val="en-US" w:eastAsia="zh-CN"/>
        </w:rPr>
        <w:t>移动式降噪防尘罩棚</w:t>
      </w:r>
      <w:r>
        <w:rPr>
          <w:rFonts w:hint="eastAsia" w:ascii="黑体" w:hAnsi="黑体" w:eastAsia="黑体"/>
          <w:lang w:val="en-US" w:eastAsia="zh-CN"/>
        </w:rPr>
        <w:t xml:space="preserve"> </w:t>
      </w:r>
      <w:r>
        <w:rPr>
          <w:rFonts w:hint="default" w:ascii="黑体" w:hAnsi="黑体" w:eastAsia="黑体"/>
          <w:lang w:val="en-US" w:eastAsia="zh-CN"/>
        </w:rPr>
        <w:t>mobile noise and dust suppression enclosure</w:t>
      </w:r>
    </w:p>
    <w:p w14:paraId="53071395">
      <w:pPr>
        <w:pStyle w:val="231"/>
        <w:rPr>
          <w:rFonts w:hint="default" w:hAnsi="宋体"/>
          <w:lang w:val="en-US" w:eastAsia="zh-CN"/>
        </w:rPr>
      </w:pPr>
      <w:r>
        <w:rPr>
          <w:rFonts w:hint="default" w:hAnsi="宋体"/>
          <w:lang w:val="en-US" w:eastAsia="zh-CN"/>
        </w:rPr>
        <w:t>一种在施工现场邻近噪声敏感区域或占路作业区，为有效控制施工噪声与粉尘扩散而设置的可整体移动、快速组装与拆卸的临时围挡结构。</w:t>
      </w:r>
    </w:p>
    <w:p w14:paraId="04E088E1">
      <w:pPr>
        <w:pStyle w:val="224"/>
        <w:ind w:left="420" w:hanging="420" w:hangingChars="200"/>
        <w:rPr>
          <w:rFonts w:hint="default" w:hAnsi="宋体"/>
          <w:lang w:val="en-US" w:eastAsia="zh-CN"/>
        </w:rPr>
      </w:pPr>
    </w:p>
    <w:p w14:paraId="75EA978E">
      <w:pPr>
        <w:pStyle w:val="57"/>
        <w:ind w:firstLine="420"/>
        <w:rPr>
          <w:rFonts w:hint="default" w:ascii="黑体" w:hAnsi="黑体" w:eastAsia="黑体"/>
          <w:lang w:val="en-US" w:eastAsia="zh-CN"/>
        </w:rPr>
      </w:pPr>
      <w:r>
        <w:rPr>
          <w:rFonts w:hint="eastAsia" w:ascii="黑体" w:hAnsi="黑体" w:eastAsia="黑体"/>
          <w:lang w:val="en-US" w:eastAsia="zh-CN"/>
        </w:rPr>
        <w:t>子项 c</w:t>
      </w:r>
      <w:r>
        <w:rPr>
          <w:rFonts w:hint="default" w:ascii="黑体" w:hAnsi="黑体" w:eastAsia="黑体"/>
          <w:lang w:val="en-US" w:eastAsia="zh-CN"/>
        </w:rPr>
        <w:t xml:space="preserve">onstruction </w:t>
      </w:r>
      <w:r>
        <w:rPr>
          <w:rFonts w:hint="eastAsia" w:ascii="黑体" w:hAnsi="黑体" w:eastAsia="黑体"/>
          <w:lang w:val="en-US" w:eastAsia="zh-CN"/>
        </w:rPr>
        <w:t>z</w:t>
      </w:r>
      <w:r>
        <w:rPr>
          <w:rFonts w:hint="default" w:ascii="黑体" w:hAnsi="黑体" w:eastAsia="黑体"/>
          <w:lang w:val="en-US" w:eastAsia="zh-CN"/>
        </w:rPr>
        <w:t>one</w:t>
      </w:r>
    </w:p>
    <w:p w14:paraId="32E7203D">
      <w:pPr>
        <w:pStyle w:val="231"/>
        <w:rPr>
          <w:rFonts w:hint="default" w:hAnsi="宋体"/>
          <w:lang w:val="en-US" w:eastAsia="zh-CN"/>
        </w:rPr>
      </w:pPr>
      <w:r>
        <w:rPr>
          <w:rFonts w:hint="eastAsia" w:hAnsi="宋体"/>
          <w:lang w:val="en-US" w:eastAsia="zh-CN"/>
        </w:rPr>
        <w:t>在供热工程总承包施工范围内，为实施精细化安全管理而划分的、地理空间上相对独立的施工区域单元。每个子项应具有明确的作业边界与相对集中的施工内容，是专职安全生产管理人员进行日常安全监督与管理的基本责任单元。</w:t>
      </w:r>
    </w:p>
    <w:p w14:paraId="5BB033B1">
      <w:pPr>
        <w:pStyle w:val="105"/>
        <w:spacing w:before="240" w:after="240"/>
        <w:rPr>
          <w:strike w:val="0"/>
        </w:rPr>
      </w:pPr>
      <w:bookmarkStart w:id="49" w:name="_Toc24306"/>
      <w:r>
        <w:rPr>
          <w:rFonts w:hint="eastAsia"/>
          <w:strike w:val="0"/>
          <w:dstrike w:val="0"/>
          <w:lang w:eastAsia="zh-CN"/>
        </w:rPr>
        <w:t>基础管理</w:t>
      </w:r>
      <w:bookmarkEnd w:id="49"/>
    </w:p>
    <w:p w14:paraId="11BBF514">
      <w:pPr>
        <w:pStyle w:val="106"/>
        <w:spacing w:before="120" w:after="120"/>
        <w:rPr>
          <w:rFonts w:hint="eastAsia"/>
        </w:rPr>
      </w:pPr>
      <w:bookmarkStart w:id="50" w:name="_Toc11269"/>
      <w:r>
        <w:rPr>
          <w:rFonts w:hint="eastAsia"/>
        </w:rPr>
        <w:t>制度建设</w:t>
      </w:r>
      <w:bookmarkEnd w:id="50"/>
    </w:p>
    <w:p w14:paraId="72B5C9B1">
      <w:pPr>
        <w:pStyle w:val="66"/>
        <w:spacing w:before="120" w:after="120"/>
        <w:rPr>
          <w:rFonts w:hint="eastAsia"/>
        </w:rPr>
      </w:pPr>
      <w:r>
        <w:rPr>
          <w:rFonts w:hint="eastAsia"/>
        </w:rPr>
        <w:t>安全生产责任制</w:t>
      </w:r>
    </w:p>
    <w:p w14:paraId="23171BA4">
      <w:pPr>
        <w:pStyle w:val="165"/>
        <w:rPr>
          <w:color w:val="auto"/>
        </w:rPr>
      </w:pPr>
      <w:bookmarkStart w:id="51" w:name="OLE_LINK2"/>
      <w:r>
        <w:rPr>
          <w:rFonts w:ascii="Segoe UI" w:hAnsi="Segoe UI" w:cs="Segoe UI"/>
          <w:color w:val="auto"/>
          <w:shd w:val="clear" w:color="auto" w:fill="FFFFFF"/>
        </w:rPr>
        <w:t>各参建单位应建立、健全并落实安全生产责任制，以正式文件形式发布，明确各岗位的责任、权限及考核标准，形成全员安全生产责任体系。</w:t>
      </w:r>
    </w:p>
    <w:p w14:paraId="449DE192">
      <w:pPr>
        <w:pStyle w:val="165"/>
        <w:rPr>
          <w:rFonts w:hint="eastAsia"/>
          <w:color w:val="auto"/>
          <w:highlight w:val="none"/>
        </w:rPr>
      </w:pPr>
      <w:r>
        <w:rPr>
          <w:rFonts w:hint="eastAsia"/>
          <w:color w:val="auto"/>
          <w:highlight w:val="none"/>
        </w:rPr>
        <w:t>建设单位承担工程全过程安全生产首要责任，应在招标文件及合同中明确安全目标、安全生产费用及各参建方职责；每月至少组织1次综合安全检查；对参建单位提交的书面安全建议，应在3个工作日内反馈处理结果；未及时处理并导致事故隐患的，应承担统筹管理失职责任。</w:t>
      </w:r>
    </w:p>
    <w:bookmarkEnd w:id="51"/>
    <w:p w14:paraId="2BE940D7">
      <w:pPr>
        <w:pStyle w:val="165"/>
        <w:rPr>
          <w:rFonts w:hint="eastAsia"/>
          <w:color w:val="auto"/>
          <w:highlight w:val="none"/>
        </w:rPr>
      </w:pPr>
      <w:bookmarkStart w:id="52" w:name="OLE_LINK3"/>
      <w:r>
        <w:rPr>
          <w:rFonts w:ascii="Segoe UI" w:hAnsi="Segoe UI" w:cs="Segoe UI"/>
          <w:color w:val="auto"/>
          <w:highlight w:val="none"/>
          <w:shd w:val="clear" w:color="auto" w:fill="FFFFFF"/>
        </w:rPr>
        <w:t>勘察单位应依据GB 50021开展勘察工作，提交的勘察成果文件应真实、准确、完整；对基坑（槽）、地下管沟等涉及施工安全的部位，应在勘察文件中作出专门的安全提示和建议，并配合进行勘察文件交底，现场说明地质条件。因勘察数据失实导致生产安全事故的，应依法承担相应责任。</w:t>
      </w:r>
    </w:p>
    <w:p w14:paraId="5FEBB0E9">
      <w:pPr>
        <w:pStyle w:val="165"/>
        <w:rPr>
          <w:rFonts w:hint="eastAsia"/>
          <w:color w:val="auto"/>
          <w:highlight w:val="none"/>
        </w:rPr>
      </w:pPr>
      <w:r>
        <w:rPr>
          <w:rFonts w:hint="eastAsia"/>
          <w:color w:val="auto"/>
          <w:highlight w:val="none"/>
        </w:rPr>
        <w:t>设计单位应严格执行工程建设强制性标准，保障设计文件安全可行；施工过程中应按程序及时解决设计问题，对涉及施工安全的重点部位和环节应进行专项设计交底。因设计缺陷导致生产安全事故的，应承担设计责任。</w:t>
      </w:r>
    </w:p>
    <w:p w14:paraId="4A95914A">
      <w:pPr>
        <w:pStyle w:val="165"/>
        <w:rPr>
          <w:rFonts w:hint="eastAsia"/>
          <w:color w:val="auto"/>
          <w:highlight w:val="none"/>
        </w:rPr>
      </w:pPr>
      <w:r>
        <w:rPr>
          <w:rFonts w:ascii="Segoe UI" w:hAnsi="Segoe UI" w:cs="Segoe UI"/>
          <w:color w:val="auto"/>
          <w:highlight w:val="none"/>
          <w:shd w:val="clear" w:color="auto" w:fill="FFFFFF"/>
        </w:rPr>
        <w:t>施工单位是施工现场安全生产责任主体，应建立健全以项目经理为第一责任人的安全生产管理体系，明确关键岗位安全职责；</w:t>
      </w:r>
      <w:r>
        <w:rPr>
          <w:rFonts w:hint="eastAsia" w:ascii="Segoe UI" w:hAnsi="Segoe UI" w:cs="Segoe UI"/>
          <w:color w:val="auto"/>
          <w:highlight w:val="none"/>
          <w:shd w:val="clear" w:color="auto" w:fill="FFFFFF"/>
          <w:lang w:val="en-US" w:eastAsia="zh-CN"/>
        </w:rPr>
        <w:t>施工作业前</w:t>
      </w:r>
      <w:r>
        <w:rPr>
          <w:rFonts w:ascii="Segoe UI" w:hAnsi="Segoe UI" w:cs="Segoe UI"/>
          <w:color w:val="auto"/>
          <w:highlight w:val="none"/>
          <w:shd w:val="clear" w:color="auto" w:fill="FFFFFF"/>
        </w:rPr>
        <w:t>应开展安全风险辨识与评估，制定风险管控清单，对危险性较大的</w:t>
      </w:r>
      <w:r>
        <w:rPr>
          <w:rFonts w:hint="eastAsia" w:ascii="Segoe UI" w:hAnsi="Segoe UI" w:cs="Segoe UI"/>
          <w:color w:val="auto"/>
          <w:highlight w:val="none"/>
          <w:shd w:val="clear" w:color="auto" w:fill="FFFFFF"/>
          <w:lang w:val="en-US" w:eastAsia="zh-CN"/>
        </w:rPr>
        <w:t>项目或子</w:t>
      </w:r>
      <w:r>
        <w:rPr>
          <w:rFonts w:ascii="Segoe UI" w:hAnsi="Segoe UI" w:cs="Segoe UI"/>
          <w:color w:val="auto"/>
          <w:highlight w:val="none"/>
          <w:shd w:val="clear" w:color="auto" w:fill="FFFFFF"/>
        </w:rPr>
        <w:t>项，</w:t>
      </w:r>
      <w:r>
        <w:rPr>
          <w:rFonts w:hint="eastAsia" w:ascii="Segoe UI" w:hAnsi="Segoe UI" w:cs="Segoe UI"/>
          <w:color w:val="auto"/>
          <w:highlight w:val="none"/>
          <w:shd w:val="clear" w:color="auto" w:fill="FFFFFF"/>
          <w:lang w:val="en-US" w:eastAsia="zh-CN"/>
        </w:rPr>
        <w:t>应制定</w:t>
      </w:r>
      <w:r>
        <w:rPr>
          <w:rFonts w:ascii="Segoe UI" w:hAnsi="Segoe UI" w:cs="Segoe UI"/>
          <w:color w:val="auto"/>
          <w:highlight w:val="none"/>
          <w:shd w:val="clear" w:color="auto" w:fill="FFFFFF"/>
        </w:rPr>
        <w:t>专项施工方案</w:t>
      </w:r>
      <w:r>
        <w:rPr>
          <w:rFonts w:hint="eastAsia" w:ascii="Segoe UI" w:hAnsi="Segoe UI" w:cs="Segoe UI"/>
          <w:color w:val="auto"/>
          <w:highlight w:val="none"/>
          <w:shd w:val="clear" w:color="auto" w:fill="FFFFFF"/>
          <w:lang w:eastAsia="zh-CN"/>
        </w:rPr>
        <w:t>，</w:t>
      </w:r>
      <w:r>
        <w:rPr>
          <w:rFonts w:hint="eastAsia" w:ascii="Segoe UI" w:hAnsi="Segoe UI" w:cs="Segoe UI"/>
          <w:color w:val="auto"/>
          <w:highlight w:val="none"/>
          <w:shd w:val="clear" w:color="auto" w:fill="FFFFFF"/>
          <w:lang w:val="en-US" w:eastAsia="zh-CN"/>
        </w:rPr>
        <w:t>超过一定规模的需要</w:t>
      </w:r>
      <w:r>
        <w:rPr>
          <w:rFonts w:ascii="Segoe UI" w:hAnsi="Segoe UI" w:cs="Segoe UI"/>
          <w:color w:val="auto"/>
          <w:highlight w:val="none"/>
          <w:shd w:val="clear" w:color="auto" w:fill="FFFFFF"/>
        </w:rPr>
        <w:t>经专家论证通过后方可实施；应落实三级安全教育和班前安全教育，逐级进行安全技术交底并归档；每年至少组织一次综合应急演练，建立事故隐患排查治理制度，实行闭环管理。未履行上述职责的，应依法追究责任。</w:t>
      </w:r>
    </w:p>
    <w:bookmarkEnd w:id="52"/>
    <w:p w14:paraId="5E4B0C65">
      <w:pPr>
        <w:pStyle w:val="165"/>
        <w:rPr>
          <w:rFonts w:hint="eastAsia"/>
          <w:color w:val="auto"/>
        </w:rPr>
      </w:pPr>
      <w:r>
        <w:rPr>
          <w:rFonts w:ascii="Segoe UI" w:hAnsi="Segoe UI" w:cs="Segoe UI"/>
          <w:color w:val="auto"/>
          <w:shd w:val="clear" w:color="auto" w:fill="FFFFFF"/>
        </w:rPr>
        <w:t>监理单位应承担建设工程安全生产监理责任，编制安全监理实施细则，审查施工单位资质、人员资格及特种作业人员持证上岗情况，重点核查施工方案合规性；发现事故隐患应要求施工单位整改并复查，发现重大事故隐患应要求立即停工并报告建设单位。未依法履行监理职责或复查签认不实的，应承担监理连带责任。</w:t>
      </w:r>
    </w:p>
    <w:p w14:paraId="4C8B482D">
      <w:pPr>
        <w:pStyle w:val="66"/>
        <w:spacing w:before="156" w:after="156"/>
        <w:rPr>
          <w:color w:val="auto"/>
        </w:rPr>
      </w:pPr>
      <w:r>
        <w:rPr>
          <w:rFonts w:hint="eastAsia"/>
          <w:color w:val="auto"/>
        </w:rPr>
        <w:t>消防保卫管理制度</w:t>
      </w:r>
    </w:p>
    <w:p w14:paraId="40E43880">
      <w:pPr>
        <w:pStyle w:val="165"/>
        <w:rPr>
          <w:rFonts w:hint="eastAsia"/>
          <w:color w:val="auto"/>
        </w:rPr>
      </w:pPr>
      <w:bookmarkStart w:id="53" w:name="OLE_LINK4"/>
      <w:r>
        <w:rPr>
          <w:rFonts w:ascii="Segoe UI" w:hAnsi="Segoe UI" w:cs="Segoe UI"/>
          <w:color w:val="auto"/>
          <w:shd w:val="clear" w:color="auto" w:fill="FFFFFF"/>
        </w:rPr>
        <w:t>各参建单位应按职责建立健全消防保卫管理制度，明确消防安全责任体系、动火作业审批与监护、消防器材与设施的配备与管理、消防与疏散通道管理、可燃物及易燃易爆品管理，以及消防检查与演练等要求。</w:t>
      </w:r>
    </w:p>
    <w:p w14:paraId="0A4BE7C9">
      <w:pPr>
        <w:pStyle w:val="165"/>
        <w:rPr>
          <w:rFonts w:hint="eastAsia"/>
          <w:color w:val="auto"/>
        </w:rPr>
      </w:pPr>
      <w:r>
        <w:rPr>
          <w:rFonts w:hint="eastAsia"/>
          <w:color w:val="auto"/>
        </w:rPr>
        <w:t>建设单位承担消防保卫统筹责任，应将消防费用纳入工程概算，明确消防管控总体目标；</w:t>
      </w:r>
      <w:r>
        <w:rPr>
          <w:rFonts w:hint="eastAsia"/>
          <w:color w:val="auto"/>
          <w:lang w:val="en-US" w:eastAsia="zh-CN"/>
        </w:rPr>
        <w:t>施工现场应</w:t>
      </w:r>
      <w:r>
        <w:rPr>
          <w:rFonts w:hint="eastAsia"/>
          <w:color w:val="auto"/>
        </w:rPr>
        <w:t>开展消防专项检查，督促各单位隐患闭环整改；未履行统筹职责导致消防安全事故的，应承担相应管理责任。</w:t>
      </w:r>
    </w:p>
    <w:p w14:paraId="6DC742D5">
      <w:pPr>
        <w:pStyle w:val="165"/>
        <w:rPr>
          <w:rFonts w:hint="eastAsia"/>
          <w:color w:val="auto"/>
        </w:rPr>
      </w:pPr>
      <w:r>
        <w:rPr>
          <w:rFonts w:ascii="Segoe UI" w:hAnsi="Segoe UI" w:cs="Segoe UI"/>
          <w:color w:val="auto"/>
          <w:shd w:val="clear" w:color="auto" w:fill="FFFFFF"/>
        </w:rPr>
        <w:t>施工单位是现场消防保卫直接责任主体，应明确消防责任人及岗位职责；动火作业应严格执行GB 50720，并安排专人全程监护；应足额配备消防器材，易燃品当日使用当日清零；开工前</w:t>
      </w:r>
      <w:r>
        <w:rPr>
          <w:rFonts w:hint="eastAsia" w:ascii="Segoe UI" w:hAnsi="Segoe UI" w:cs="Segoe UI"/>
          <w:color w:val="auto"/>
          <w:shd w:val="clear" w:color="auto" w:fill="FFFFFF"/>
          <w:lang w:val="en-US" w:eastAsia="zh-CN"/>
        </w:rPr>
        <w:t>应</w:t>
      </w:r>
      <w:r>
        <w:rPr>
          <w:rFonts w:ascii="Segoe UI" w:hAnsi="Segoe UI" w:cs="Segoe UI"/>
          <w:color w:val="auto"/>
          <w:shd w:val="clear" w:color="auto" w:fill="FFFFFF"/>
        </w:rPr>
        <w:t>针对性</w:t>
      </w:r>
      <w:r>
        <w:rPr>
          <w:rFonts w:hint="eastAsia" w:ascii="Segoe UI" w:hAnsi="Segoe UI" w:cs="Segoe UI"/>
          <w:color w:val="auto"/>
          <w:shd w:val="clear" w:color="auto" w:fill="FFFFFF"/>
          <w:lang w:val="en-US" w:eastAsia="zh-CN"/>
        </w:rPr>
        <w:t>进行消防</w:t>
      </w:r>
      <w:r>
        <w:rPr>
          <w:rFonts w:ascii="Segoe UI" w:hAnsi="Segoe UI" w:cs="Segoe UI"/>
          <w:color w:val="auto"/>
          <w:shd w:val="clear" w:color="auto" w:fill="FFFFFF"/>
        </w:rPr>
        <w:t>演练并做好记录；因管控不力引发火灾的，应承担直接责任。</w:t>
      </w:r>
    </w:p>
    <w:p w14:paraId="54D52D0B">
      <w:pPr>
        <w:pStyle w:val="165"/>
        <w:rPr>
          <w:rFonts w:hint="eastAsia"/>
          <w:color w:val="auto"/>
        </w:rPr>
      </w:pPr>
      <w:r>
        <w:rPr>
          <w:rFonts w:hint="eastAsia"/>
          <w:color w:val="auto"/>
        </w:rPr>
        <w:t>监理单位承担消防保卫监理责任，应审查施工单位动火审批文件及消防器材配置方案；常态化巡视检查现场消防管理情况，发现隐患应督促限期整改，发现重大隐患应立即上报建设单位；因监理失职导致消防事故的，应承担连带责任。</w:t>
      </w:r>
    </w:p>
    <w:p w14:paraId="66191674">
      <w:pPr>
        <w:pStyle w:val="165"/>
        <w:rPr>
          <w:rFonts w:hint="eastAsia"/>
          <w:color w:val="auto"/>
          <w:highlight w:val="none"/>
        </w:rPr>
      </w:pPr>
      <w:r>
        <w:rPr>
          <w:rFonts w:ascii="Segoe UI" w:hAnsi="Segoe UI" w:cs="Segoe UI"/>
          <w:color w:val="auto"/>
          <w:highlight w:val="none"/>
          <w:shd w:val="clear" w:color="auto" w:fill="FFFFFF"/>
        </w:rPr>
        <w:t>设计单位应优化消防通道与设施布置，满足现场消防安全需求；因提示不到位或设计疏漏影响消防安全的，应承担相应技术责任。</w:t>
      </w:r>
    </w:p>
    <w:bookmarkEnd w:id="53"/>
    <w:p w14:paraId="3E26401E">
      <w:pPr>
        <w:pStyle w:val="66"/>
        <w:spacing w:before="156" w:after="156"/>
        <w:rPr>
          <w:color w:val="auto"/>
        </w:rPr>
      </w:pPr>
      <w:r>
        <w:rPr>
          <w:rFonts w:hint="eastAsia"/>
          <w:color w:val="auto"/>
        </w:rPr>
        <w:t>文明施工管理制度</w:t>
      </w:r>
    </w:p>
    <w:p w14:paraId="1FE23B0A">
      <w:pPr>
        <w:pStyle w:val="165"/>
        <w:rPr>
          <w:rFonts w:hint="eastAsia"/>
          <w:color w:val="auto"/>
        </w:rPr>
      </w:pPr>
      <w:bookmarkStart w:id="54" w:name="OLE_LINK5"/>
      <w:r>
        <w:rPr>
          <w:rFonts w:hint="eastAsia"/>
          <w:color w:val="auto"/>
        </w:rPr>
        <w:t>各参建单位应建立健全文明施工管理制度，明确施工现场的场容场貌、材料堆放、垃圾处理、扬尘与噪声及光污染控制、污水排放等管理要求。</w:t>
      </w:r>
    </w:p>
    <w:p w14:paraId="4C5EAC45">
      <w:pPr>
        <w:pStyle w:val="165"/>
        <w:rPr>
          <w:rFonts w:hint="eastAsia"/>
          <w:color w:val="auto"/>
        </w:rPr>
      </w:pPr>
      <w:r>
        <w:rPr>
          <w:rFonts w:hint="eastAsia"/>
          <w:color w:val="auto"/>
        </w:rPr>
        <w:t>建设单位承担文明施工统筹责任，应将文明施工目标及要求纳入施工合同，协调处理跨单位事项；每月至少开展1次文明施工检查考核，考核结果纳入合同履约管理；未履行统筹职责的，应承担管理责任。</w:t>
      </w:r>
    </w:p>
    <w:p w14:paraId="0ECA735F">
      <w:pPr>
        <w:pStyle w:val="165"/>
        <w:rPr>
          <w:rFonts w:hint="eastAsia" w:ascii="Segoe UI" w:hAnsi="Segoe UI" w:cs="Segoe UI"/>
          <w:color w:val="auto"/>
          <w:shd w:val="clear" w:color="auto" w:fill="FFFFFF"/>
        </w:rPr>
      </w:pPr>
      <w:r>
        <w:rPr>
          <w:rFonts w:ascii="Segoe UI" w:hAnsi="Segoe UI" w:cs="Segoe UI"/>
          <w:color w:val="auto"/>
          <w:shd w:val="clear" w:color="auto" w:fill="FFFFFF"/>
        </w:rPr>
        <w:t>施工单位是文明施工实施主体，应落实现场管控要求：按规定设置围挡，材料分类堆放，做到工完场清；建筑垃圾日产日清；严格控制扬尘、噪声执行GB 12523，污水经沉淀处理达标后排放。未按要求整改的，应承担相应违约责任。</w:t>
      </w:r>
    </w:p>
    <w:p w14:paraId="30946547">
      <w:pPr>
        <w:pStyle w:val="165"/>
        <w:rPr>
          <w:rFonts w:hint="eastAsia" w:ascii="Segoe UI" w:hAnsi="Segoe UI" w:cs="Segoe UI"/>
          <w:color w:val="auto"/>
          <w:shd w:val="clear" w:color="auto" w:fill="FFFFFF"/>
        </w:rPr>
      </w:pPr>
      <w:r>
        <w:rPr>
          <w:rFonts w:ascii="Segoe UI" w:hAnsi="Segoe UI" w:cs="Segoe UI"/>
          <w:color w:val="auto"/>
          <w:shd w:val="clear" w:color="auto" w:fill="FFFFFF"/>
        </w:rPr>
        <w:t>监理单位承担文明施工监理责任，应将文明施工纳入日常监理范围，对违规行为签发监理通知单并跟踪整改；未依法履行监理职责的，应承担监理连带责任。</w:t>
      </w:r>
    </w:p>
    <w:bookmarkEnd w:id="54"/>
    <w:p w14:paraId="18FA6C7B">
      <w:pPr>
        <w:pStyle w:val="66"/>
        <w:spacing w:before="156" w:after="156"/>
        <w:rPr>
          <w:color w:val="auto"/>
        </w:rPr>
      </w:pPr>
      <w:bookmarkStart w:id="55" w:name="OLE_LINK6"/>
      <w:r>
        <w:rPr>
          <w:rFonts w:hint="eastAsia"/>
          <w:color w:val="auto"/>
        </w:rPr>
        <w:t>安全生产管理制度</w:t>
      </w:r>
    </w:p>
    <w:p w14:paraId="687CEA81">
      <w:pPr>
        <w:pStyle w:val="165"/>
        <w:rPr>
          <w:rFonts w:hint="eastAsia"/>
          <w:color w:val="auto"/>
        </w:rPr>
      </w:pPr>
      <w:r>
        <w:rPr>
          <w:rFonts w:hint="eastAsia"/>
          <w:color w:val="auto"/>
        </w:rPr>
        <w:t>各参建单位应建立健全安全生产管理制度，涵盖安全生产责任制、安全教育培训、风险分级管控与隐患排查治理、施工方案安全审查、安全技术交底、个体防护、应急管理、检查评估等核心要素，实现闭环管理。</w:t>
      </w:r>
    </w:p>
    <w:p w14:paraId="6C1C18F7">
      <w:pPr>
        <w:pStyle w:val="165"/>
        <w:rPr>
          <w:rFonts w:hint="eastAsia" w:hAnsi="宋体" w:cs="宋体"/>
          <w:color w:val="auto"/>
        </w:rPr>
      </w:pPr>
      <w:r>
        <w:rPr>
          <w:rFonts w:hint="eastAsia" w:hAnsi="宋体" w:cs="宋体"/>
          <w:color w:val="auto"/>
        </w:rPr>
        <w:t>建设单位承担安全生产管理制度统筹责任，应监督各参建单位制度执行情况，每季度至少开展1次制度执行专项考核；未履行统筹监督职责的，应承担管理失职责任。</w:t>
      </w:r>
    </w:p>
    <w:p w14:paraId="522834C0">
      <w:pPr>
        <w:pStyle w:val="165"/>
        <w:rPr>
          <w:rFonts w:hint="eastAsia"/>
          <w:color w:val="auto"/>
        </w:rPr>
      </w:pPr>
      <w:r>
        <w:rPr>
          <w:rFonts w:hint="eastAsia"/>
          <w:color w:val="auto"/>
        </w:rPr>
        <w:t>施工单位应制定实施细则，实施全过程留痕管理，确保制度有效落实；未按要求落实的，应依法追究责任。</w:t>
      </w:r>
    </w:p>
    <w:p w14:paraId="7918CA21">
      <w:pPr>
        <w:pStyle w:val="165"/>
        <w:rPr>
          <w:rFonts w:hint="eastAsia"/>
          <w:color w:val="auto"/>
        </w:rPr>
      </w:pPr>
      <w:r>
        <w:rPr>
          <w:rFonts w:hint="eastAsia"/>
          <w:color w:val="auto"/>
        </w:rPr>
        <w:t>监理单位应将制度执行情况纳入监理范围，及时制止违规行为；未依法履行监理职责的，应承担监理连带责任。</w:t>
      </w:r>
    </w:p>
    <w:p w14:paraId="05D71C30">
      <w:pPr>
        <w:pStyle w:val="165"/>
        <w:rPr>
          <w:rFonts w:hint="eastAsia" w:hAnsi="宋体" w:cs="宋体"/>
          <w:color w:val="auto"/>
        </w:rPr>
      </w:pPr>
      <w:r>
        <w:rPr>
          <w:rFonts w:hint="eastAsia"/>
          <w:color w:val="auto"/>
        </w:rPr>
        <w:t>勘察、设计单位应配合开展安全审查与技术交底，严格按制度要求履行技术职责；履职不到位的，应承担相应技术责任。</w:t>
      </w:r>
    </w:p>
    <w:bookmarkEnd w:id="55"/>
    <w:p w14:paraId="44ED82B7">
      <w:pPr>
        <w:pStyle w:val="66"/>
        <w:spacing w:before="156" w:after="156"/>
        <w:rPr>
          <w:color w:val="auto"/>
        </w:rPr>
      </w:pPr>
      <w:bookmarkStart w:id="56" w:name="OLE_LINK7"/>
      <w:r>
        <w:rPr>
          <w:rFonts w:hint="eastAsia"/>
          <w:color w:val="auto"/>
        </w:rPr>
        <w:t>安全技术措施制度</w:t>
      </w:r>
    </w:p>
    <w:p w14:paraId="2FC1317A">
      <w:pPr>
        <w:pStyle w:val="165"/>
        <w:rPr>
          <w:rFonts w:hint="eastAsia" w:hAnsi="宋体" w:cs="宋体"/>
          <w:color w:val="auto"/>
        </w:rPr>
      </w:pPr>
      <w:r>
        <w:rPr>
          <w:rFonts w:hint="eastAsia" w:hAnsi="宋体" w:cs="宋体"/>
          <w:color w:val="auto"/>
        </w:rPr>
        <w:t>各参建单位应建立安全技术措施制度，规定施工活动</w:t>
      </w:r>
      <w:r>
        <w:rPr>
          <w:rFonts w:hint="eastAsia" w:hAnsi="宋体" w:cs="宋体"/>
          <w:color w:val="auto"/>
          <w:lang w:eastAsia="zh-CN"/>
        </w:rPr>
        <w:t>应</w:t>
      </w:r>
      <w:r>
        <w:rPr>
          <w:rFonts w:hint="eastAsia" w:hAnsi="宋体" w:cs="宋体"/>
          <w:color w:val="auto"/>
        </w:rPr>
        <w:t>遵循“方案编制与审批在先、实施与验收在后”原则，对有限空间、动火、临时用电等关键作业建立包含检测、审批、监护的专项安全作业程序。</w:t>
      </w:r>
    </w:p>
    <w:p w14:paraId="4815C1F8">
      <w:pPr>
        <w:pStyle w:val="165"/>
        <w:rPr>
          <w:rFonts w:hint="eastAsia"/>
          <w:color w:val="auto"/>
        </w:rPr>
      </w:pPr>
      <w:r>
        <w:rPr>
          <w:rFonts w:hint="eastAsia"/>
          <w:color w:val="auto"/>
        </w:rPr>
        <w:t>建设单位应协调保障安全技术措施落实，因协调不力影响施工安全的，应承担统筹管理责任。</w:t>
      </w:r>
    </w:p>
    <w:p w14:paraId="62EC2149">
      <w:pPr>
        <w:pStyle w:val="165"/>
        <w:rPr>
          <w:rFonts w:hint="eastAsia"/>
          <w:color w:val="auto"/>
        </w:rPr>
      </w:pPr>
      <w:r>
        <w:rPr>
          <w:rFonts w:hint="eastAsia"/>
          <w:color w:val="auto"/>
        </w:rPr>
        <w:t>施工单位应对关键作业编制专项安全作业程序，条件未达标不得施工，违规施工的应承担直接责任。</w:t>
      </w:r>
    </w:p>
    <w:p w14:paraId="5B7E2AD7">
      <w:pPr>
        <w:pStyle w:val="165"/>
        <w:rPr>
          <w:rFonts w:hint="eastAsia"/>
          <w:color w:val="auto"/>
        </w:rPr>
      </w:pPr>
      <w:r>
        <w:rPr>
          <w:rFonts w:hint="eastAsia"/>
          <w:color w:val="auto"/>
        </w:rPr>
        <w:t>设计单位应提供专项技术支持，明确安全技术要点；因技术支持不到位导致事故的，应承担设计责任。</w:t>
      </w:r>
    </w:p>
    <w:p w14:paraId="2C583E30">
      <w:pPr>
        <w:pStyle w:val="165"/>
        <w:rPr>
          <w:rFonts w:hint="eastAsia"/>
          <w:color w:val="auto"/>
        </w:rPr>
      </w:pPr>
      <w:r>
        <w:rPr>
          <w:rFonts w:hint="eastAsia"/>
          <w:color w:val="auto"/>
        </w:rPr>
        <w:t>监理单位应监督技术措施全过程落实，未依法履行监督职责的，应承担监理连带责任。</w:t>
      </w:r>
    </w:p>
    <w:p w14:paraId="6A8A89E3">
      <w:pPr>
        <w:pStyle w:val="66"/>
        <w:spacing w:before="156" w:after="156"/>
        <w:rPr>
          <w:color w:val="auto"/>
        </w:rPr>
      </w:pPr>
      <w:r>
        <w:rPr>
          <w:rFonts w:hint="eastAsia"/>
          <w:color w:val="auto"/>
        </w:rPr>
        <w:t>安全会议制度</w:t>
      </w:r>
    </w:p>
    <w:p w14:paraId="4CBEFC11">
      <w:pPr>
        <w:pStyle w:val="165"/>
        <w:rPr>
          <w:rFonts w:hint="eastAsia"/>
          <w:color w:val="auto"/>
        </w:rPr>
      </w:pPr>
      <w:r>
        <w:rPr>
          <w:rFonts w:hint="eastAsia"/>
          <w:color w:val="auto"/>
        </w:rPr>
        <w:t>各参建单位应建立安全会议制度，明确安全生产领导小组会议、周/月例会等会议的召开频次、参加人员、主要议题及会议记录管理要求。</w:t>
      </w:r>
    </w:p>
    <w:p w14:paraId="097C6559">
      <w:pPr>
        <w:pStyle w:val="165"/>
        <w:rPr>
          <w:rFonts w:hint="eastAsia"/>
          <w:color w:val="auto"/>
        </w:rPr>
      </w:pPr>
      <w:r>
        <w:rPr>
          <w:rFonts w:hint="eastAsia"/>
          <w:color w:val="auto"/>
        </w:rPr>
        <w:t>建设单位应牵头每月至少召开1次安全生产领导小组会议，督促落实会议决议；未履行牵头职责或决议未落实的，应承担统筹责任。</w:t>
      </w:r>
    </w:p>
    <w:p w14:paraId="4EA579B6">
      <w:pPr>
        <w:pStyle w:val="165"/>
        <w:rPr>
          <w:rFonts w:hint="eastAsia"/>
          <w:color w:val="auto"/>
        </w:rPr>
      </w:pPr>
      <w:r>
        <w:rPr>
          <w:rFonts w:hint="eastAsia"/>
          <w:color w:val="auto"/>
        </w:rPr>
        <w:t>施工单位应牵头组织每周例会与每月例会，专项会议应提前3日通知，聚焦安全形势分析与隐患整改；应指定专人记录并归档，档案保存至竣工后不少于5年；未按要求召开或记录不全的，应承担管理责任。</w:t>
      </w:r>
    </w:p>
    <w:p w14:paraId="156F4C4B">
      <w:pPr>
        <w:pStyle w:val="165"/>
        <w:rPr>
          <w:rFonts w:hint="eastAsia"/>
          <w:color w:val="auto"/>
        </w:rPr>
      </w:pPr>
      <w:r>
        <w:rPr>
          <w:rFonts w:hint="eastAsia"/>
          <w:color w:val="auto"/>
        </w:rPr>
        <w:t>设计、监理单位应按要求参会并履行职责，无故缺席或未落实会议要求的，应承担相应责任。</w:t>
      </w:r>
    </w:p>
    <w:p w14:paraId="1AF30997">
      <w:pPr>
        <w:pStyle w:val="66"/>
        <w:spacing w:before="156" w:after="156"/>
        <w:rPr>
          <w:color w:val="auto"/>
        </w:rPr>
      </w:pPr>
      <w:r>
        <w:rPr>
          <w:rFonts w:hint="eastAsia"/>
          <w:color w:val="auto"/>
        </w:rPr>
        <w:t>安全奖惩制度</w:t>
      </w:r>
    </w:p>
    <w:p w14:paraId="45F8B1C3">
      <w:pPr>
        <w:pStyle w:val="165"/>
        <w:rPr>
          <w:rFonts w:hint="eastAsia"/>
          <w:color w:val="auto"/>
        </w:rPr>
      </w:pPr>
      <w:r>
        <w:rPr>
          <w:rFonts w:hint="eastAsia"/>
          <w:color w:val="auto"/>
        </w:rPr>
        <w:t>各参建单位应建立安全奖惩制度，明确奖惩范围、条件、标准及审批程序，与安全绩效挂钩；未建立或执行不到位的，应承担管理责任。</w:t>
      </w:r>
    </w:p>
    <w:p w14:paraId="049BAF82">
      <w:pPr>
        <w:pStyle w:val="66"/>
        <w:spacing w:before="156" w:after="156"/>
        <w:rPr>
          <w:color w:val="auto"/>
        </w:rPr>
      </w:pPr>
      <w:r>
        <w:rPr>
          <w:rFonts w:hint="eastAsia"/>
          <w:color w:val="auto"/>
        </w:rPr>
        <w:t>应急管理制度</w:t>
      </w:r>
    </w:p>
    <w:p w14:paraId="3B2577AC">
      <w:pPr>
        <w:pStyle w:val="165"/>
        <w:rPr>
          <w:rFonts w:hint="eastAsia"/>
          <w:color w:val="auto"/>
        </w:rPr>
      </w:pPr>
      <w:r>
        <w:rPr>
          <w:rFonts w:hint="eastAsia"/>
          <w:color w:val="auto"/>
        </w:rPr>
        <w:t>各参建单位应建立应急管理制度，编制生产安全事故应急预案并定期演练，保障应急资源配备，明确事故报告、现场处置等应急响应程序。火灾、人员伤亡等突发事件应立即上报。上报流程参照图1。</w:t>
      </w:r>
    </w:p>
    <w:p w14:paraId="79EBB849">
      <w:pPr>
        <w:pStyle w:val="165"/>
        <w:rPr>
          <w:rFonts w:hint="eastAsia"/>
          <w:color w:val="auto"/>
        </w:rPr>
      </w:pPr>
      <w:r>
        <w:rPr>
          <w:rFonts w:ascii="Segoe UI" w:hAnsi="Segoe UI" w:cs="Segoe UI"/>
          <w:color w:val="auto"/>
          <w:shd w:val="clear" w:color="auto" w:fill="FFFFFF"/>
        </w:rPr>
        <w:t>建设单位应牵头编制综合应急预案，统筹应急资源；未履行牵头或统筹职责的，应承担管理责任。</w:t>
      </w:r>
    </w:p>
    <w:p w14:paraId="7F499C35">
      <w:pPr>
        <w:pStyle w:val="165"/>
        <w:rPr>
          <w:rFonts w:hint="eastAsia"/>
          <w:color w:val="auto"/>
        </w:rPr>
      </w:pPr>
      <w:r>
        <w:rPr>
          <w:rFonts w:ascii="Segoe UI" w:hAnsi="Segoe UI" w:cs="Segoe UI"/>
          <w:color w:val="auto"/>
          <w:shd w:val="clear" w:color="auto" w:fill="FFFFFF"/>
        </w:rPr>
        <w:t>施工单位应编制专项应急预案，足额配备应急物资，每年至少组织2次综合演练；未落实的，应承担直接责任。</w:t>
      </w:r>
    </w:p>
    <w:p w14:paraId="53F318A7">
      <w:pPr>
        <w:pStyle w:val="165"/>
        <w:rPr>
          <w:rFonts w:hint="eastAsia"/>
          <w:color w:val="auto"/>
        </w:rPr>
      </w:pPr>
      <w:r>
        <w:rPr>
          <w:rFonts w:hint="eastAsia"/>
          <w:color w:val="auto"/>
        </w:rPr>
        <w:t>监理单位应监督应急演练开展情况，未依法履行监督职责的，应承担</w:t>
      </w:r>
      <w:r>
        <w:rPr>
          <w:rFonts w:hint="eastAsia"/>
          <w:color w:val="auto"/>
          <w:lang w:val="en-US" w:eastAsia="zh-CN"/>
        </w:rPr>
        <w:t>相应</w:t>
      </w:r>
      <w:r>
        <w:rPr>
          <w:rFonts w:hint="eastAsia"/>
          <w:color w:val="auto"/>
        </w:rPr>
        <w:t>责任。</w:t>
      </w:r>
    </w:p>
    <w:p w14:paraId="01F60BAE">
      <w:pPr>
        <w:pStyle w:val="165"/>
        <w:rPr>
          <w:rFonts w:hint="eastAsia"/>
          <w:color w:val="auto"/>
        </w:rPr>
      </w:pPr>
      <w:r>
        <w:rPr>
          <w:rFonts w:hint="eastAsia"/>
          <w:color w:val="auto"/>
        </w:rPr>
        <w:t>设计、勘察单位应为应急处置提供技术支持，因技术支持不到位影响救援的，应承担相应责任。</w:t>
      </w:r>
    </w:p>
    <w:bookmarkEnd w:id="56"/>
    <w:p w14:paraId="16F811EF">
      <w:pPr>
        <w:pStyle w:val="165"/>
        <w:numPr>
          <w:ilvl w:val="0"/>
          <w:numId w:val="0"/>
        </w:numPr>
        <w:jc w:val="center"/>
        <w:rPr>
          <w:rFonts w:hint="eastAsia" w:hAnsi="宋体" w:eastAsia="宋体" w:cs="宋体"/>
          <w:lang w:eastAsia="zh-CN"/>
        </w:rPr>
      </w:pPr>
      <w:r>
        <w:rPr>
          <w:rFonts w:hint="eastAsia" w:hAnsi="宋体" w:eastAsia="宋体" w:cs="宋体"/>
          <w:lang w:eastAsia="zh-CN"/>
        </w:rPr>
        <w:drawing>
          <wp:inline distT="0" distB="0" distL="114300" distR="114300">
            <wp:extent cx="4023360" cy="3984625"/>
            <wp:effectExtent l="0" t="0" r="15240" b="15875"/>
            <wp:docPr id="4" name="图片 4" descr="fbe51b52692e9f330d8f7fb38d740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be51b52692e9f330d8f7fb38d7403aa"/>
                    <pic:cNvPicPr>
                      <a:picLocks noChangeAspect="1"/>
                    </pic:cNvPicPr>
                  </pic:nvPicPr>
                  <pic:blipFill>
                    <a:blip r:embed="rId17"/>
                    <a:stretch>
                      <a:fillRect/>
                    </a:stretch>
                  </pic:blipFill>
                  <pic:spPr>
                    <a:xfrm>
                      <a:off x="0" y="0"/>
                      <a:ext cx="4023360" cy="3984625"/>
                    </a:xfrm>
                    <a:prstGeom prst="rect">
                      <a:avLst/>
                    </a:prstGeom>
                  </pic:spPr>
                </pic:pic>
              </a:graphicData>
            </a:graphic>
          </wp:inline>
        </w:drawing>
      </w:r>
    </w:p>
    <w:p w14:paraId="5F77E2C6">
      <w:pPr>
        <w:pStyle w:val="115"/>
        <w:spacing w:before="120" w:after="120"/>
        <w:rPr>
          <w:rFonts w:hint="eastAsia"/>
        </w:rPr>
      </w:pPr>
      <w:r>
        <w:rPr>
          <w:rFonts w:hint="eastAsia"/>
        </w:rPr>
        <w:t>事故上报流程示意图</w:t>
      </w:r>
      <w:r>
        <w:rPr>
          <w:rFonts w:hint="eastAsia"/>
          <w:lang w:val="en-US" w:eastAsia="zh-CN"/>
        </w:rPr>
        <w:t>(黑白图)</w:t>
      </w:r>
    </w:p>
    <w:p w14:paraId="34A0F7A7">
      <w:pPr>
        <w:pStyle w:val="106"/>
        <w:spacing w:before="156" w:after="156"/>
        <w:rPr>
          <w:color w:val="auto"/>
          <w:highlight w:val="none"/>
        </w:rPr>
      </w:pPr>
      <w:bookmarkStart w:id="57" w:name="_Toc2023"/>
      <w:bookmarkStart w:id="58" w:name="_Toc16939"/>
      <w:r>
        <w:rPr>
          <w:rFonts w:hint="eastAsia"/>
          <w:color w:val="auto"/>
          <w:highlight w:val="none"/>
        </w:rPr>
        <w:t>安全员配置管理</w:t>
      </w:r>
      <w:bookmarkEnd w:id="57"/>
      <w:bookmarkEnd w:id="58"/>
    </w:p>
    <w:p w14:paraId="1E499BA9">
      <w:pPr>
        <w:pStyle w:val="66"/>
        <w:spacing w:before="156" w:after="156"/>
        <w:rPr>
          <w:color w:val="auto"/>
          <w:highlight w:val="none"/>
        </w:rPr>
      </w:pPr>
      <w:r>
        <w:rPr>
          <w:rFonts w:hint="eastAsia"/>
          <w:color w:val="auto"/>
          <w:highlight w:val="none"/>
        </w:rPr>
        <w:t>总承包单位专职安全员配置</w:t>
      </w:r>
    </w:p>
    <w:p w14:paraId="08E55BA5">
      <w:pPr>
        <w:pStyle w:val="165"/>
        <w:rPr>
          <w:color w:val="auto"/>
          <w:highlight w:val="none"/>
        </w:rPr>
      </w:pPr>
      <w:r>
        <w:rPr>
          <w:rFonts w:hint="eastAsia"/>
          <w:color w:val="auto"/>
          <w:highlight w:val="none"/>
        </w:rPr>
        <w:t>新建、改（扩）建供热工程单项工程总承包单位应按工程合同价配备专职安全员。</w:t>
      </w:r>
    </w:p>
    <w:p w14:paraId="61F973B9">
      <w:pPr>
        <w:pStyle w:val="133"/>
        <w:rPr>
          <w:color w:val="auto"/>
          <w:highlight w:val="none"/>
        </w:rPr>
      </w:pPr>
      <w:r>
        <w:rPr>
          <w:rFonts w:hint="eastAsia"/>
          <w:color w:val="auto"/>
          <w:highlight w:val="none"/>
        </w:rPr>
        <w:t>合同价小于5000万元的工程，配备不少于1人；</w:t>
      </w:r>
    </w:p>
    <w:p w14:paraId="39D9758C">
      <w:pPr>
        <w:pStyle w:val="133"/>
        <w:rPr>
          <w:color w:val="auto"/>
          <w:highlight w:val="none"/>
        </w:rPr>
      </w:pPr>
      <w:r>
        <w:rPr>
          <w:rFonts w:hint="eastAsia"/>
          <w:color w:val="auto"/>
          <w:highlight w:val="none"/>
        </w:rPr>
        <w:t>5000万≤合同价＜1亿元的工程，配备不少于2人；</w:t>
      </w:r>
    </w:p>
    <w:p w14:paraId="667F4091">
      <w:pPr>
        <w:pStyle w:val="133"/>
        <w:rPr>
          <w:color w:val="auto"/>
          <w:highlight w:val="none"/>
        </w:rPr>
      </w:pPr>
      <w:r>
        <w:rPr>
          <w:rFonts w:hint="eastAsia"/>
          <w:color w:val="auto"/>
          <w:highlight w:val="none"/>
        </w:rPr>
        <w:t>合同价≥1亿元的工程，配备不少于3人，且单项工程合同价每增5000万元增配1人，且应按照专业配备；</w:t>
      </w:r>
    </w:p>
    <w:p w14:paraId="3ADCEA2B">
      <w:pPr>
        <w:pStyle w:val="133"/>
        <w:rPr>
          <w:color w:val="auto"/>
          <w:highlight w:val="none"/>
        </w:rPr>
      </w:pPr>
      <w:r>
        <w:rPr>
          <w:rFonts w:hint="eastAsia"/>
          <w:color w:val="auto"/>
          <w:highlight w:val="none"/>
        </w:rPr>
        <w:t>合同价≥4亿元的工程或隧道工程施工累计长度超过4公里，应配备安全总监、设置独立的安全生产管理机构；</w:t>
      </w:r>
    </w:p>
    <w:p w14:paraId="48105840">
      <w:pPr>
        <w:pStyle w:val="133"/>
        <w:rPr>
          <w:color w:val="auto"/>
          <w:highlight w:val="none"/>
        </w:rPr>
      </w:pPr>
      <w:r>
        <w:rPr>
          <w:rFonts w:hint="eastAsia"/>
          <w:color w:val="auto"/>
          <w:highlight w:val="none"/>
        </w:rPr>
        <w:t>每个专职安全生产管理人员同时管理的子项不应超过5个，子项合计辐射半径不应超过2.5公里，热力管线总长度不应超过3公里。</w:t>
      </w:r>
    </w:p>
    <w:p w14:paraId="361666EB">
      <w:pPr>
        <w:pStyle w:val="66"/>
        <w:spacing w:before="156" w:after="156"/>
        <w:rPr>
          <w:color w:val="auto"/>
          <w:highlight w:val="none"/>
        </w:rPr>
      </w:pPr>
      <w:r>
        <w:rPr>
          <w:rFonts w:hint="eastAsia"/>
          <w:color w:val="auto"/>
          <w:highlight w:val="none"/>
        </w:rPr>
        <w:t>分包单位专职安全员配置</w:t>
      </w:r>
    </w:p>
    <w:p w14:paraId="14770CC8">
      <w:pPr>
        <w:pStyle w:val="165"/>
        <w:rPr>
          <w:color w:val="auto"/>
          <w:highlight w:val="none"/>
        </w:rPr>
      </w:pPr>
      <w:r>
        <w:rPr>
          <w:rFonts w:hint="eastAsia"/>
          <w:color w:val="auto"/>
          <w:highlight w:val="none"/>
        </w:rPr>
        <w:t>专业分包单位专职安全员，各子项至少配备1人，根据工程量及施工危险程度增配，且每专业不应少于1人；</w:t>
      </w:r>
    </w:p>
    <w:p w14:paraId="36320C1B">
      <w:pPr>
        <w:pStyle w:val="165"/>
        <w:rPr>
          <w:color w:val="auto"/>
          <w:highlight w:val="none"/>
        </w:rPr>
      </w:pPr>
      <w:r>
        <w:rPr>
          <w:rFonts w:hint="eastAsia"/>
          <w:color w:val="auto"/>
          <w:highlight w:val="none"/>
        </w:rPr>
        <w:t>劳务分包单位专职安全员，劳务人数50人以下配备不少于1人；50至200人配备不少于2人；200人及以上配备不少于3人，根据工程量及施工危险程度增配，应不少于工程施工总人数的5%。</w:t>
      </w:r>
    </w:p>
    <w:p w14:paraId="39072B2B">
      <w:pPr>
        <w:pStyle w:val="66"/>
        <w:spacing w:before="156" w:after="156"/>
        <w:rPr>
          <w:color w:val="auto"/>
          <w:highlight w:val="none"/>
        </w:rPr>
      </w:pPr>
      <w:bookmarkStart w:id="59" w:name="OLE_LINK9"/>
      <w:r>
        <w:rPr>
          <w:rFonts w:hint="eastAsia"/>
          <w:color w:val="auto"/>
          <w:highlight w:val="none"/>
        </w:rPr>
        <w:t>兼职安全员配置</w:t>
      </w:r>
    </w:p>
    <w:p w14:paraId="2195A688">
      <w:pPr>
        <w:pStyle w:val="165"/>
        <w:rPr>
          <w:rFonts w:hint="eastAsia"/>
          <w:color w:val="auto"/>
        </w:rPr>
      </w:pPr>
      <w:r>
        <w:rPr>
          <w:rFonts w:ascii="Segoe UI" w:hAnsi="Segoe UI" w:cs="Segoe UI"/>
          <w:color w:val="auto"/>
          <w:shd w:val="clear" w:color="auto" w:fill="FFFFFF"/>
        </w:rPr>
        <w:t>施工班组人数在100人以下且作业风险较低的，应配备兼职安全员。兼职安全员可由技术人员兼任，但须经安全培训并考核合格后方可上岗。</w:t>
      </w:r>
    </w:p>
    <w:bookmarkEnd w:id="59"/>
    <w:p w14:paraId="76548F02">
      <w:pPr>
        <w:pStyle w:val="106"/>
        <w:spacing w:before="156" w:after="156"/>
        <w:rPr>
          <w:color w:val="auto"/>
        </w:rPr>
      </w:pPr>
      <w:bookmarkStart w:id="60" w:name="_Toc16074"/>
      <w:bookmarkStart w:id="61" w:name="_Toc27338"/>
      <w:bookmarkStart w:id="62" w:name="OLE_LINK10"/>
      <w:r>
        <w:rPr>
          <w:rFonts w:hint="eastAsia"/>
          <w:color w:val="auto"/>
        </w:rPr>
        <w:t>特种作业人员管理</w:t>
      </w:r>
      <w:bookmarkEnd w:id="60"/>
      <w:bookmarkEnd w:id="61"/>
    </w:p>
    <w:p w14:paraId="152CAEFE">
      <w:pPr>
        <w:pStyle w:val="166"/>
        <w:rPr>
          <w:rFonts w:hint="eastAsia"/>
          <w:color w:val="auto"/>
        </w:rPr>
      </w:pPr>
      <w:r>
        <w:rPr>
          <w:rFonts w:hint="eastAsia" w:ascii="Segoe UI" w:hAnsi="Segoe UI" w:cs="Segoe UI"/>
          <w:color w:val="auto"/>
          <w:shd w:val="clear" w:color="auto" w:fill="FFFFFF"/>
        </w:rPr>
        <w:t>从事特种作业的人员应经专门培训并考核合格，取得相应资格后持证上岗。持证要求应符合表1规定。查验时，</w:t>
      </w:r>
      <w:r>
        <w:rPr>
          <w:rFonts w:hint="eastAsia" w:ascii="Segoe UI" w:hAnsi="Segoe UI" w:cs="Segoe UI"/>
          <w:color w:val="auto"/>
          <w:shd w:val="clear" w:color="auto" w:fill="FFFFFF"/>
          <w:lang w:val="en-US" w:eastAsia="zh-CN"/>
        </w:rPr>
        <w:t>应按</w:t>
      </w:r>
      <w:r>
        <w:rPr>
          <w:rFonts w:hint="eastAsia" w:ascii="Segoe UI" w:hAnsi="Segoe UI" w:cs="Segoe UI"/>
          <w:color w:val="auto"/>
          <w:shd w:val="clear" w:color="auto" w:fill="FFFFFF"/>
        </w:rPr>
        <w:t>北京市住房和城乡建设委员会、北京市市场监督管理局、北京市应急管理局等部门最新要求。</w:t>
      </w:r>
    </w:p>
    <w:p w14:paraId="3A7E5F13">
      <w:pPr>
        <w:pStyle w:val="166"/>
        <w:rPr>
          <w:rFonts w:hint="eastAsia"/>
          <w:color w:val="auto"/>
        </w:rPr>
      </w:pPr>
      <w:r>
        <w:rPr>
          <w:rFonts w:ascii="Segoe UI" w:hAnsi="Segoe UI" w:cs="Segoe UI"/>
          <w:color w:val="auto"/>
          <w:shd w:val="clear" w:color="auto" w:fill="FFFFFF"/>
        </w:rPr>
        <w:t>施工单位应对特种作业人员进行岗位安全操作规程、安全操作技能、风险防范措施及应急处置等专项培训，培训考核合格后方可上岗作业。</w:t>
      </w:r>
    </w:p>
    <w:p w14:paraId="4193065A">
      <w:pPr>
        <w:pStyle w:val="166"/>
        <w:rPr>
          <w:rFonts w:hint="eastAsia"/>
          <w:color w:val="auto"/>
        </w:rPr>
      </w:pPr>
      <w:r>
        <w:rPr>
          <w:rFonts w:ascii="Segoe UI" w:hAnsi="Segoe UI" w:cs="Segoe UI"/>
          <w:color w:val="auto"/>
          <w:shd w:val="clear" w:color="auto" w:fill="FFFFFF"/>
        </w:rPr>
        <w:t>施工单位应建立特种作业人员管理档案，动态记录人员资格、培训、考核、奖惩及违章信息，确保证件有效、人证相符，并接受监督检查。</w:t>
      </w:r>
    </w:p>
    <w:p w14:paraId="6C2BDA41">
      <w:pPr>
        <w:pStyle w:val="166"/>
        <w:rPr>
          <w:rFonts w:hint="eastAsia"/>
          <w:color w:val="auto"/>
        </w:rPr>
      </w:pPr>
      <w:r>
        <w:rPr>
          <w:rFonts w:hint="eastAsia"/>
          <w:color w:val="auto"/>
        </w:rPr>
        <w:t>特种作业人员应严格遵守安全操作规程，作业前应对设备、工具及安全防护设施进行检查确认，严禁无证上岗或违章作业。</w:t>
      </w:r>
    </w:p>
    <w:bookmarkEnd w:id="62"/>
    <w:p w14:paraId="3771E4D6">
      <w:pPr>
        <w:pStyle w:val="113"/>
        <w:spacing w:before="156" w:after="156"/>
        <w:rPr>
          <w:color w:val="auto"/>
          <w:highlight w:val="none"/>
        </w:rPr>
      </w:pPr>
      <w:r>
        <w:rPr>
          <w:rFonts w:hint="eastAsia"/>
          <w:color w:val="auto"/>
        </w:rPr>
        <w:t>供热</w:t>
      </w:r>
      <w:r>
        <w:rPr>
          <w:rFonts w:hint="eastAsia"/>
          <w:color w:val="auto"/>
          <w:highlight w:val="none"/>
        </w:rPr>
        <w:t>施工作业人员资质管理表</w:t>
      </w:r>
    </w:p>
    <w:tbl>
      <w:tblPr>
        <w:tblStyle w:val="27"/>
        <w:tblW w:w="4963" w:type="pct"/>
        <w:tblInd w:w="0" w:type="dxa"/>
        <w:tblLayout w:type="autofit"/>
        <w:tblCellMar>
          <w:top w:w="0" w:type="dxa"/>
          <w:left w:w="0" w:type="dxa"/>
          <w:bottom w:w="0" w:type="dxa"/>
          <w:right w:w="0" w:type="dxa"/>
        </w:tblCellMar>
      </w:tblPr>
      <w:tblGrid>
        <w:gridCol w:w="784"/>
        <w:gridCol w:w="2833"/>
        <w:gridCol w:w="3303"/>
        <w:gridCol w:w="2395"/>
      </w:tblGrid>
      <w:tr w14:paraId="476D4F9F">
        <w:tblPrEx>
          <w:tblCellMar>
            <w:top w:w="0" w:type="dxa"/>
            <w:left w:w="0" w:type="dxa"/>
            <w:bottom w:w="0" w:type="dxa"/>
            <w:right w:w="0" w:type="dxa"/>
          </w:tblCellMar>
        </w:tblPrEx>
        <w:trPr>
          <w:trHeight w:val="380"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64A642">
            <w:pPr>
              <w:pStyle w:val="179"/>
              <w:rPr>
                <w:color w:val="auto"/>
                <w:highlight w:val="none"/>
              </w:rPr>
            </w:pPr>
            <w:r>
              <w:rPr>
                <w:rFonts w:hint="eastAsia"/>
                <w:color w:val="auto"/>
                <w:highlight w:val="none"/>
              </w:rPr>
              <w:t>序号</w:t>
            </w:r>
          </w:p>
        </w:tc>
        <w:tc>
          <w:tcPr>
            <w:tcW w:w="1520"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4AF483">
            <w:pPr>
              <w:pStyle w:val="179"/>
              <w:rPr>
                <w:color w:val="auto"/>
                <w:highlight w:val="none"/>
              </w:rPr>
            </w:pPr>
            <w:r>
              <w:rPr>
                <w:rFonts w:hint="eastAsia"/>
                <w:color w:val="auto"/>
                <w:highlight w:val="none"/>
              </w:rPr>
              <w:t>岗位</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932AD1">
            <w:pPr>
              <w:pStyle w:val="179"/>
              <w:rPr>
                <w:color w:val="auto"/>
                <w:highlight w:val="none"/>
              </w:rPr>
            </w:pPr>
            <w:r>
              <w:rPr>
                <w:rFonts w:hint="eastAsia"/>
                <w:color w:val="auto"/>
                <w:highlight w:val="none"/>
              </w:rPr>
              <w:t>证件名称</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9DE7CF9">
            <w:pPr>
              <w:pStyle w:val="179"/>
              <w:rPr>
                <w:color w:val="auto"/>
                <w:highlight w:val="none"/>
              </w:rPr>
            </w:pPr>
            <w:r>
              <w:rPr>
                <w:rFonts w:hint="eastAsia"/>
                <w:color w:val="auto"/>
                <w:highlight w:val="none"/>
              </w:rPr>
              <w:t>发证单位</w:t>
            </w:r>
          </w:p>
        </w:tc>
      </w:tr>
      <w:tr w14:paraId="7C035FBD">
        <w:tblPrEx>
          <w:tblCellMar>
            <w:top w:w="0" w:type="dxa"/>
            <w:left w:w="0" w:type="dxa"/>
            <w:bottom w:w="0" w:type="dxa"/>
            <w:right w:w="0" w:type="dxa"/>
          </w:tblCellMar>
        </w:tblPrEx>
        <w:trPr>
          <w:trHeight w:val="387"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7946792">
            <w:pPr>
              <w:pStyle w:val="179"/>
              <w:rPr>
                <w:color w:val="auto"/>
                <w:highlight w:val="none"/>
              </w:rPr>
            </w:pPr>
            <w:r>
              <w:rPr>
                <w:rFonts w:hint="eastAsia"/>
                <w:color w:val="auto"/>
                <w:highlight w:val="none"/>
              </w:rPr>
              <w:t>1</w:t>
            </w:r>
          </w:p>
        </w:tc>
        <w:tc>
          <w:tcPr>
            <w:tcW w:w="1520"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8CF1A34">
            <w:pPr>
              <w:pStyle w:val="179"/>
              <w:rPr>
                <w:rFonts w:hint="eastAsia"/>
                <w:color w:val="auto"/>
                <w:highlight w:val="none"/>
              </w:rPr>
            </w:pPr>
            <w:r>
              <w:rPr>
                <w:rFonts w:hint="eastAsia"/>
                <w:color w:val="auto"/>
                <w:highlight w:val="none"/>
              </w:rPr>
              <w:t>专职安全生产管理人员</w:t>
            </w:r>
          </w:p>
          <w:p w14:paraId="23561998">
            <w:pPr>
              <w:pStyle w:val="179"/>
              <w:rPr>
                <w:color w:val="auto"/>
                <w:highlight w:val="none"/>
              </w:rPr>
            </w:pPr>
            <w:r>
              <w:rPr>
                <w:rFonts w:hint="eastAsia"/>
                <w:color w:val="auto"/>
                <w:highlight w:val="none"/>
              </w:rPr>
              <w:t>（C1/C2/C3）</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208F9F">
            <w:pPr>
              <w:pStyle w:val="179"/>
              <w:rPr>
                <w:color w:val="auto"/>
                <w:highlight w:val="none"/>
              </w:rPr>
            </w:pPr>
            <w:r>
              <w:rPr>
                <w:rFonts w:hint="eastAsia"/>
                <w:color w:val="auto"/>
                <w:highlight w:val="none"/>
              </w:rPr>
              <w:t>北京市安全培训合格证</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329177">
            <w:pPr>
              <w:pStyle w:val="179"/>
              <w:rPr>
                <w:color w:val="auto"/>
                <w:highlight w:val="none"/>
              </w:rPr>
            </w:pPr>
            <w:r>
              <w:rPr>
                <w:rFonts w:hint="eastAsia"/>
                <w:color w:val="auto"/>
                <w:highlight w:val="none"/>
              </w:rPr>
              <w:t>北京市住房和城乡建设委员会</w:t>
            </w:r>
          </w:p>
        </w:tc>
      </w:tr>
      <w:tr w14:paraId="2930884A">
        <w:tblPrEx>
          <w:tblCellMar>
            <w:top w:w="0" w:type="dxa"/>
            <w:left w:w="0" w:type="dxa"/>
            <w:bottom w:w="0" w:type="dxa"/>
            <w:right w:w="0" w:type="dxa"/>
          </w:tblCellMar>
        </w:tblPrEx>
        <w:trPr>
          <w:trHeight w:val="416"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7CC9E0">
            <w:pPr>
              <w:pStyle w:val="179"/>
              <w:rPr>
                <w:color w:val="auto"/>
                <w:highlight w:val="none"/>
              </w:rPr>
            </w:pPr>
            <w:r>
              <w:rPr>
                <w:rFonts w:hint="eastAsia"/>
                <w:color w:val="auto"/>
                <w:highlight w:val="none"/>
              </w:rPr>
              <w:t>2</w:t>
            </w:r>
          </w:p>
        </w:tc>
        <w:tc>
          <w:tcPr>
            <w:tcW w:w="1520"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5965B9">
            <w:pPr>
              <w:pStyle w:val="179"/>
              <w:rPr>
                <w:color w:val="auto"/>
                <w:highlight w:val="none"/>
              </w:rPr>
            </w:pPr>
            <w:r>
              <w:rPr>
                <w:rFonts w:hint="eastAsia"/>
                <w:color w:val="auto"/>
                <w:highlight w:val="none"/>
              </w:rPr>
              <w:t>特种设备安全管理</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A051C2">
            <w:pPr>
              <w:pStyle w:val="179"/>
              <w:rPr>
                <w:color w:val="auto"/>
                <w:highlight w:val="none"/>
              </w:rPr>
            </w:pPr>
            <w:r>
              <w:rPr>
                <w:rFonts w:hint="eastAsia"/>
                <w:color w:val="auto"/>
                <w:highlight w:val="none"/>
              </w:rPr>
              <w:t>特种设备安全管理A</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6D5A5E">
            <w:pPr>
              <w:pStyle w:val="179"/>
              <w:rPr>
                <w:color w:val="auto"/>
                <w:highlight w:val="none"/>
              </w:rPr>
            </w:pPr>
            <w:r>
              <w:rPr>
                <w:rFonts w:hint="eastAsia"/>
                <w:color w:val="auto"/>
                <w:highlight w:val="none"/>
              </w:rPr>
              <w:t>北京市市场监督管理局</w:t>
            </w:r>
          </w:p>
        </w:tc>
      </w:tr>
      <w:tr w14:paraId="0C4A1352">
        <w:tblPrEx>
          <w:tblCellMar>
            <w:top w:w="0" w:type="dxa"/>
            <w:left w:w="0" w:type="dxa"/>
            <w:bottom w:w="0" w:type="dxa"/>
            <w:right w:w="0" w:type="dxa"/>
          </w:tblCellMar>
        </w:tblPrEx>
        <w:trPr>
          <w:trHeight w:val="416"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5E944F1">
            <w:pPr>
              <w:pStyle w:val="179"/>
              <w:rPr>
                <w:color w:val="auto"/>
                <w:highlight w:val="none"/>
              </w:rPr>
            </w:pPr>
            <w:r>
              <w:rPr>
                <w:rFonts w:hint="eastAsia"/>
                <w:color w:val="auto"/>
                <w:highlight w:val="none"/>
              </w:rPr>
              <w:t>3</w:t>
            </w:r>
          </w:p>
        </w:tc>
        <w:tc>
          <w:tcPr>
            <w:tcW w:w="1520" w:type="pct"/>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14:paraId="2106A506">
            <w:pPr>
              <w:pStyle w:val="179"/>
              <w:rPr>
                <w:color w:val="auto"/>
                <w:highlight w:val="none"/>
              </w:rPr>
            </w:pPr>
            <w:r>
              <w:rPr>
                <w:rFonts w:hint="eastAsia"/>
                <w:color w:val="auto"/>
                <w:highlight w:val="none"/>
              </w:rPr>
              <w:t>电工</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F597FF">
            <w:pPr>
              <w:pStyle w:val="179"/>
              <w:rPr>
                <w:color w:val="auto"/>
                <w:highlight w:val="none"/>
              </w:rPr>
            </w:pPr>
            <w:r>
              <w:rPr>
                <w:rFonts w:hint="eastAsia"/>
                <w:color w:val="auto"/>
                <w:highlight w:val="none"/>
              </w:rPr>
              <w:t>特种作业操作证（</w:t>
            </w:r>
            <w:r>
              <w:rPr>
                <w:rFonts w:hint="eastAsia"/>
                <w:color w:val="auto"/>
                <w:highlight w:val="none"/>
                <w:lang w:val="en-US" w:eastAsia="zh-CN"/>
              </w:rPr>
              <w:t>高压电工作业</w:t>
            </w:r>
            <w:r>
              <w:rPr>
                <w:rFonts w:hint="eastAsia"/>
                <w:color w:val="auto"/>
                <w:highlight w:val="none"/>
              </w:rPr>
              <w:t>）</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6D4C9AE">
            <w:pPr>
              <w:pStyle w:val="179"/>
              <w:rPr>
                <w:color w:val="auto"/>
                <w:highlight w:val="none"/>
              </w:rPr>
            </w:pPr>
            <w:r>
              <w:rPr>
                <w:rFonts w:hint="eastAsia"/>
                <w:color w:val="auto"/>
                <w:highlight w:val="none"/>
              </w:rPr>
              <w:t>北京市应急管理局</w:t>
            </w:r>
          </w:p>
        </w:tc>
      </w:tr>
      <w:tr w14:paraId="2E5EA556">
        <w:tblPrEx>
          <w:tblCellMar>
            <w:top w:w="0" w:type="dxa"/>
            <w:left w:w="0" w:type="dxa"/>
            <w:bottom w:w="0" w:type="dxa"/>
            <w:right w:w="0" w:type="dxa"/>
          </w:tblCellMar>
        </w:tblPrEx>
        <w:trPr>
          <w:trHeight w:val="416"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5A49F3">
            <w:pPr>
              <w:pStyle w:val="179"/>
              <w:rPr>
                <w:rFonts w:hint="eastAsia" w:eastAsia="宋体"/>
                <w:color w:val="auto"/>
                <w:highlight w:val="none"/>
                <w:lang w:val="en-US" w:eastAsia="zh-CN"/>
              </w:rPr>
            </w:pPr>
            <w:r>
              <w:rPr>
                <w:rFonts w:hint="eastAsia"/>
                <w:color w:val="auto"/>
                <w:highlight w:val="none"/>
                <w:lang w:val="en-US" w:eastAsia="zh-CN"/>
              </w:rPr>
              <w:t>4</w:t>
            </w:r>
          </w:p>
        </w:tc>
        <w:tc>
          <w:tcPr>
            <w:tcW w:w="1520" w:type="pct"/>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14:paraId="354C66CC">
            <w:pPr>
              <w:pStyle w:val="179"/>
              <w:rPr>
                <w:rFonts w:hint="eastAsia"/>
                <w:color w:val="auto"/>
                <w:highlight w:val="none"/>
              </w:rPr>
            </w:pP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A20DF7">
            <w:pPr>
              <w:pStyle w:val="179"/>
              <w:rPr>
                <w:rFonts w:hint="eastAsia"/>
                <w:color w:val="auto"/>
                <w:highlight w:val="none"/>
              </w:rPr>
            </w:pPr>
            <w:r>
              <w:rPr>
                <w:rFonts w:hint="eastAsia"/>
                <w:color w:val="auto"/>
                <w:highlight w:val="none"/>
              </w:rPr>
              <w:t>特种作业操作证（</w:t>
            </w:r>
            <w:r>
              <w:rPr>
                <w:rFonts w:hint="eastAsia"/>
                <w:color w:val="auto"/>
                <w:highlight w:val="none"/>
                <w:lang w:val="en-US" w:eastAsia="zh-CN"/>
              </w:rPr>
              <w:t>低压电工作业</w:t>
            </w:r>
            <w:r>
              <w:rPr>
                <w:rFonts w:hint="eastAsia"/>
                <w:color w:val="auto"/>
                <w:highlight w:val="none"/>
              </w:rPr>
              <w:t>）</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5C3F83">
            <w:pPr>
              <w:pStyle w:val="179"/>
              <w:rPr>
                <w:rFonts w:hint="eastAsia"/>
                <w:color w:val="auto"/>
                <w:highlight w:val="none"/>
              </w:rPr>
            </w:pPr>
            <w:r>
              <w:rPr>
                <w:rFonts w:hint="eastAsia"/>
                <w:color w:val="auto"/>
                <w:highlight w:val="none"/>
              </w:rPr>
              <w:t>北京市应急管理局</w:t>
            </w:r>
          </w:p>
        </w:tc>
      </w:tr>
      <w:tr w14:paraId="6EC4A17F">
        <w:tblPrEx>
          <w:tblCellMar>
            <w:top w:w="0" w:type="dxa"/>
            <w:left w:w="0" w:type="dxa"/>
            <w:bottom w:w="0" w:type="dxa"/>
            <w:right w:w="0" w:type="dxa"/>
          </w:tblCellMar>
        </w:tblPrEx>
        <w:trPr>
          <w:trHeight w:val="448"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0D3F4FA">
            <w:pPr>
              <w:pStyle w:val="179"/>
              <w:rPr>
                <w:rFonts w:hint="eastAsia" w:eastAsia="宋体"/>
                <w:color w:val="auto"/>
                <w:highlight w:val="none"/>
                <w:lang w:eastAsia="zh-CN"/>
              </w:rPr>
            </w:pPr>
            <w:r>
              <w:rPr>
                <w:rFonts w:hint="eastAsia"/>
                <w:color w:val="auto"/>
                <w:highlight w:val="none"/>
                <w:lang w:val="en-US" w:eastAsia="zh-CN"/>
              </w:rPr>
              <w:t>5</w:t>
            </w:r>
          </w:p>
        </w:tc>
        <w:tc>
          <w:tcPr>
            <w:tcW w:w="1520" w:type="pct"/>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14:paraId="3CC143E6">
            <w:pPr>
              <w:pStyle w:val="179"/>
              <w:rPr>
                <w:rFonts w:hint="eastAsia"/>
                <w:color w:val="auto"/>
                <w:highlight w:val="none"/>
                <w:lang w:eastAsia="zh-CN"/>
              </w:rPr>
            </w:pPr>
            <w:r>
              <w:rPr>
                <w:rFonts w:hint="eastAsia"/>
                <w:color w:val="auto"/>
                <w:highlight w:val="none"/>
              </w:rPr>
              <w:t>焊工</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CB37E2">
            <w:pPr>
              <w:pStyle w:val="179"/>
              <w:rPr>
                <w:color w:val="auto"/>
                <w:highlight w:val="none"/>
              </w:rPr>
            </w:pPr>
            <w:r>
              <w:rPr>
                <w:rFonts w:hint="eastAsia"/>
                <w:color w:val="auto"/>
                <w:highlight w:val="none"/>
              </w:rPr>
              <w:t>熔化焊接与热切割作业证</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82BAE25">
            <w:pPr>
              <w:pStyle w:val="179"/>
              <w:rPr>
                <w:color w:val="auto"/>
                <w:highlight w:val="none"/>
              </w:rPr>
            </w:pPr>
            <w:r>
              <w:rPr>
                <w:rFonts w:hint="eastAsia"/>
                <w:color w:val="auto"/>
                <w:highlight w:val="none"/>
              </w:rPr>
              <w:t>北京市应急管理局</w:t>
            </w:r>
          </w:p>
        </w:tc>
      </w:tr>
      <w:tr w14:paraId="1ACC981A">
        <w:tblPrEx>
          <w:tblCellMar>
            <w:top w:w="0" w:type="dxa"/>
            <w:left w:w="0" w:type="dxa"/>
            <w:bottom w:w="0" w:type="dxa"/>
            <w:right w:w="0" w:type="dxa"/>
          </w:tblCellMar>
        </w:tblPrEx>
        <w:trPr>
          <w:trHeight w:val="341"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48019">
            <w:pPr>
              <w:pStyle w:val="179"/>
              <w:rPr>
                <w:rFonts w:hint="eastAsia" w:eastAsia="宋体"/>
                <w:color w:val="auto"/>
                <w:highlight w:val="none"/>
                <w:lang w:eastAsia="zh-CN"/>
              </w:rPr>
            </w:pPr>
            <w:r>
              <w:rPr>
                <w:rFonts w:hint="eastAsia"/>
                <w:color w:val="auto"/>
                <w:highlight w:val="none"/>
                <w:lang w:val="en-US" w:eastAsia="zh-CN"/>
              </w:rPr>
              <w:t>6</w:t>
            </w:r>
          </w:p>
        </w:tc>
        <w:tc>
          <w:tcPr>
            <w:tcW w:w="1520" w:type="pct"/>
            <w:vMerge w:val="continue"/>
            <w:tcBorders>
              <w:left w:val="single" w:color="000000" w:sz="4" w:space="0"/>
              <w:right w:val="single" w:color="000000" w:sz="4" w:space="0"/>
            </w:tcBorders>
            <w:vAlign w:val="center"/>
          </w:tcPr>
          <w:p w14:paraId="7862F567">
            <w:pPr>
              <w:pStyle w:val="179"/>
              <w:rPr>
                <w:rFonts w:hint="eastAsia" w:eastAsia="宋体"/>
                <w:color w:val="auto"/>
                <w:highlight w:val="none"/>
                <w:lang w:val="en-US" w:eastAsia="zh-CN"/>
              </w:rPr>
            </w:pP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6D64B6">
            <w:pPr>
              <w:pStyle w:val="179"/>
              <w:rPr>
                <w:color w:val="auto"/>
                <w:highlight w:val="none"/>
              </w:rPr>
            </w:pPr>
            <w:r>
              <w:rPr>
                <w:rFonts w:hint="eastAsia"/>
                <w:color w:val="auto"/>
                <w:highlight w:val="none"/>
              </w:rPr>
              <w:t>特种设备安全管理和作业人员证</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BD4A00">
            <w:pPr>
              <w:pStyle w:val="179"/>
              <w:rPr>
                <w:color w:val="auto"/>
                <w:highlight w:val="none"/>
              </w:rPr>
            </w:pPr>
            <w:r>
              <w:rPr>
                <w:rFonts w:hint="eastAsia"/>
                <w:color w:val="auto"/>
                <w:highlight w:val="none"/>
              </w:rPr>
              <w:t>北京市市场监督管理局</w:t>
            </w:r>
          </w:p>
        </w:tc>
      </w:tr>
      <w:tr w14:paraId="636F14AC">
        <w:tblPrEx>
          <w:tblCellMar>
            <w:top w:w="0" w:type="dxa"/>
            <w:left w:w="0" w:type="dxa"/>
            <w:bottom w:w="0" w:type="dxa"/>
            <w:right w:w="0" w:type="dxa"/>
          </w:tblCellMar>
        </w:tblPrEx>
        <w:trPr>
          <w:trHeight w:val="448"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5F3D677">
            <w:pPr>
              <w:pStyle w:val="179"/>
              <w:rPr>
                <w:rFonts w:hint="eastAsia" w:eastAsia="宋体"/>
                <w:color w:val="auto"/>
                <w:lang w:eastAsia="zh-CN"/>
              </w:rPr>
            </w:pPr>
            <w:r>
              <w:rPr>
                <w:rFonts w:hint="eastAsia"/>
                <w:color w:val="auto"/>
                <w:lang w:val="en-US" w:eastAsia="zh-CN"/>
              </w:rPr>
              <w:t>7</w:t>
            </w:r>
          </w:p>
        </w:tc>
        <w:tc>
          <w:tcPr>
            <w:tcW w:w="1520" w:type="pct"/>
            <w:vMerge w:val="continue"/>
            <w:tcBorders>
              <w:left w:val="single" w:color="000000" w:sz="4" w:space="0"/>
              <w:bottom w:val="single" w:color="000000" w:sz="4" w:space="0"/>
              <w:right w:val="single" w:color="000000" w:sz="4" w:space="0"/>
            </w:tcBorders>
            <w:vAlign w:val="center"/>
          </w:tcPr>
          <w:p w14:paraId="667775D6">
            <w:pPr>
              <w:pStyle w:val="179"/>
              <w:rPr>
                <w:rFonts w:hint="eastAsia" w:eastAsia="宋体"/>
                <w:color w:val="auto"/>
                <w:lang w:val="en-US" w:eastAsia="zh-CN"/>
              </w:rPr>
            </w:pP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FF06E15">
            <w:pPr>
              <w:pStyle w:val="179"/>
              <w:rPr>
                <w:color w:val="auto"/>
              </w:rPr>
            </w:pPr>
            <w:r>
              <w:rPr>
                <w:rFonts w:hint="eastAsia"/>
                <w:color w:val="auto"/>
              </w:rPr>
              <w:t>建筑施工特种作业操作资格证书</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BBDF38">
            <w:pPr>
              <w:pStyle w:val="179"/>
              <w:rPr>
                <w:color w:val="auto"/>
              </w:rPr>
            </w:pPr>
            <w:r>
              <w:rPr>
                <w:rFonts w:hint="eastAsia"/>
                <w:color w:val="auto"/>
              </w:rPr>
              <w:t>北京市住房和城乡建设委员会</w:t>
            </w:r>
          </w:p>
        </w:tc>
      </w:tr>
      <w:tr w14:paraId="5EE4932A">
        <w:tblPrEx>
          <w:tblCellMar>
            <w:top w:w="0" w:type="dxa"/>
            <w:left w:w="0" w:type="dxa"/>
            <w:bottom w:w="0" w:type="dxa"/>
            <w:right w:w="0" w:type="dxa"/>
          </w:tblCellMar>
        </w:tblPrEx>
        <w:trPr>
          <w:trHeight w:val="407" w:hRule="atLeast"/>
        </w:trPr>
        <w:tc>
          <w:tcPr>
            <w:tcW w:w="421" w:type="pct"/>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14:paraId="37790691">
            <w:pPr>
              <w:pStyle w:val="179"/>
              <w:rPr>
                <w:rFonts w:hint="eastAsia" w:eastAsia="宋体"/>
                <w:color w:val="auto"/>
                <w:lang w:eastAsia="zh-CN"/>
              </w:rPr>
            </w:pPr>
            <w:r>
              <w:rPr>
                <w:rFonts w:hint="eastAsia"/>
                <w:color w:val="auto"/>
                <w:lang w:val="en-US" w:eastAsia="zh-CN"/>
              </w:rPr>
              <w:t>8</w:t>
            </w:r>
          </w:p>
        </w:tc>
        <w:tc>
          <w:tcPr>
            <w:tcW w:w="1520" w:type="pct"/>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14:paraId="38FDBAB9">
            <w:pPr>
              <w:pStyle w:val="179"/>
              <w:rPr>
                <w:color w:val="auto"/>
              </w:rPr>
            </w:pPr>
            <w:r>
              <w:rPr>
                <w:rFonts w:hint="eastAsia"/>
                <w:color w:val="auto"/>
              </w:rPr>
              <w:t>有限空间作业</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8F12112">
            <w:pPr>
              <w:pStyle w:val="179"/>
              <w:rPr>
                <w:color w:val="auto"/>
              </w:rPr>
            </w:pPr>
            <w:r>
              <w:rPr>
                <w:rFonts w:hint="eastAsia"/>
                <w:color w:val="auto"/>
              </w:rPr>
              <w:t>特种作业操作证（有限空间作业 - 地下有限空间监护作业）</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58EB5E2">
            <w:pPr>
              <w:pStyle w:val="179"/>
              <w:rPr>
                <w:color w:val="auto"/>
              </w:rPr>
            </w:pPr>
            <w:r>
              <w:rPr>
                <w:rFonts w:hint="eastAsia"/>
                <w:color w:val="auto"/>
              </w:rPr>
              <w:t>北京市应急管理局</w:t>
            </w:r>
          </w:p>
        </w:tc>
      </w:tr>
      <w:tr w14:paraId="63C0D9AB">
        <w:tblPrEx>
          <w:tblCellMar>
            <w:top w:w="0" w:type="dxa"/>
            <w:left w:w="0" w:type="dxa"/>
            <w:bottom w:w="0" w:type="dxa"/>
            <w:right w:w="0" w:type="dxa"/>
          </w:tblCellMar>
        </w:tblPrEx>
        <w:trPr>
          <w:trHeight w:val="407" w:hRule="atLeast"/>
        </w:trPr>
        <w:tc>
          <w:tcPr>
            <w:tcW w:w="421" w:type="pct"/>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14:paraId="01EE99F6">
            <w:pPr>
              <w:pStyle w:val="179"/>
              <w:rPr>
                <w:color w:val="auto"/>
              </w:rPr>
            </w:pPr>
          </w:p>
        </w:tc>
        <w:tc>
          <w:tcPr>
            <w:tcW w:w="1520" w:type="pct"/>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14:paraId="399534D4">
            <w:pPr>
              <w:pStyle w:val="179"/>
              <w:rPr>
                <w:color w:val="auto"/>
              </w:rPr>
            </w:pP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188748">
            <w:pPr>
              <w:pStyle w:val="179"/>
              <w:rPr>
                <w:color w:val="auto"/>
              </w:rPr>
            </w:pPr>
            <w:r>
              <w:rPr>
                <w:rFonts w:hint="eastAsia"/>
                <w:color w:val="auto"/>
              </w:rPr>
              <w:t>有限空间作业安全培训合格证书</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0A8C9A">
            <w:pPr>
              <w:pStyle w:val="179"/>
              <w:rPr>
                <w:color w:val="auto"/>
              </w:rPr>
            </w:pPr>
            <w:r>
              <w:rPr>
                <w:rFonts w:hint="eastAsia"/>
                <w:color w:val="auto"/>
              </w:rPr>
              <w:t>所在单位或具备资质的培训机构</w:t>
            </w:r>
          </w:p>
        </w:tc>
      </w:tr>
      <w:tr w14:paraId="5D9A3224">
        <w:tblPrEx>
          <w:tblCellMar>
            <w:top w:w="0" w:type="dxa"/>
            <w:left w:w="0" w:type="dxa"/>
            <w:bottom w:w="0" w:type="dxa"/>
            <w:right w:w="0" w:type="dxa"/>
          </w:tblCellMar>
        </w:tblPrEx>
        <w:trPr>
          <w:trHeight w:val="461"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86B5A45">
            <w:pPr>
              <w:pStyle w:val="179"/>
              <w:rPr>
                <w:rFonts w:hint="eastAsia" w:eastAsia="宋体"/>
                <w:color w:val="auto"/>
                <w:lang w:eastAsia="zh-CN"/>
              </w:rPr>
            </w:pPr>
            <w:r>
              <w:rPr>
                <w:rFonts w:hint="eastAsia"/>
                <w:color w:val="auto"/>
                <w:lang w:val="en-US" w:eastAsia="zh-CN"/>
              </w:rPr>
              <w:t>9</w:t>
            </w:r>
          </w:p>
        </w:tc>
        <w:tc>
          <w:tcPr>
            <w:tcW w:w="1520"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731183">
            <w:pPr>
              <w:pStyle w:val="179"/>
              <w:rPr>
                <w:color w:val="auto"/>
              </w:rPr>
            </w:pPr>
            <w:r>
              <w:rPr>
                <w:rFonts w:hint="eastAsia"/>
                <w:color w:val="auto"/>
              </w:rPr>
              <w:t>登高架设作业</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739F96">
            <w:pPr>
              <w:pStyle w:val="179"/>
              <w:rPr>
                <w:color w:val="auto"/>
              </w:rPr>
            </w:pPr>
            <w:r>
              <w:rPr>
                <w:rFonts w:hint="eastAsia"/>
                <w:color w:val="auto"/>
              </w:rPr>
              <w:t>特种作业操作证（登高架设作业）</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BE24E5">
            <w:pPr>
              <w:pStyle w:val="179"/>
              <w:rPr>
                <w:color w:val="auto"/>
              </w:rPr>
            </w:pPr>
            <w:r>
              <w:rPr>
                <w:rFonts w:hint="eastAsia"/>
                <w:color w:val="auto"/>
              </w:rPr>
              <w:t>北京市应急管理局</w:t>
            </w:r>
          </w:p>
        </w:tc>
      </w:tr>
      <w:tr w14:paraId="7473A564">
        <w:tblPrEx>
          <w:tblCellMar>
            <w:top w:w="0" w:type="dxa"/>
            <w:left w:w="0" w:type="dxa"/>
            <w:bottom w:w="0" w:type="dxa"/>
            <w:right w:w="0" w:type="dxa"/>
          </w:tblCellMar>
        </w:tblPrEx>
        <w:trPr>
          <w:trHeight w:val="414"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827DD2">
            <w:pPr>
              <w:pStyle w:val="179"/>
              <w:rPr>
                <w:rFonts w:hint="default" w:eastAsia="宋体"/>
                <w:color w:val="auto"/>
                <w:lang w:val="en-US" w:eastAsia="zh-CN"/>
              </w:rPr>
            </w:pPr>
            <w:r>
              <w:rPr>
                <w:rFonts w:hint="eastAsia"/>
                <w:color w:val="auto"/>
                <w:lang w:val="en-US" w:eastAsia="zh-CN"/>
              </w:rPr>
              <w:t>10</w:t>
            </w:r>
          </w:p>
        </w:tc>
        <w:tc>
          <w:tcPr>
            <w:tcW w:w="1520"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C21CCF6">
            <w:pPr>
              <w:pStyle w:val="179"/>
              <w:rPr>
                <w:color w:val="auto"/>
              </w:rPr>
            </w:pPr>
            <w:r>
              <w:rPr>
                <w:rFonts w:hint="eastAsia"/>
                <w:color w:val="auto"/>
              </w:rPr>
              <w:t>叉车司机</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7C0D3F5">
            <w:pPr>
              <w:pStyle w:val="179"/>
              <w:rPr>
                <w:color w:val="auto"/>
              </w:rPr>
            </w:pPr>
            <w:r>
              <w:rPr>
                <w:rFonts w:hint="eastAsia"/>
                <w:color w:val="auto"/>
              </w:rPr>
              <w:t>特种设备作业人员证（叉车司机）</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9028A2">
            <w:pPr>
              <w:pStyle w:val="179"/>
              <w:rPr>
                <w:color w:val="auto"/>
              </w:rPr>
            </w:pPr>
            <w:r>
              <w:rPr>
                <w:rFonts w:hint="eastAsia"/>
                <w:color w:val="auto"/>
              </w:rPr>
              <w:t>北京市市场监督管理局</w:t>
            </w:r>
          </w:p>
        </w:tc>
      </w:tr>
      <w:tr w14:paraId="4AA43D64">
        <w:tblPrEx>
          <w:tblCellMar>
            <w:top w:w="0" w:type="dxa"/>
            <w:left w:w="0" w:type="dxa"/>
            <w:bottom w:w="0" w:type="dxa"/>
            <w:right w:w="0" w:type="dxa"/>
          </w:tblCellMar>
        </w:tblPrEx>
        <w:trPr>
          <w:trHeight w:val="470" w:hRule="atLeast"/>
        </w:trPr>
        <w:tc>
          <w:tcPr>
            <w:tcW w:w="421"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39CE5AA">
            <w:pPr>
              <w:pStyle w:val="179"/>
              <w:rPr>
                <w:rFonts w:hint="eastAsia" w:eastAsia="宋体"/>
                <w:color w:val="auto"/>
                <w:lang w:eastAsia="zh-CN"/>
              </w:rPr>
            </w:pPr>
            <w:r>
              <w:rPr>
                <w:rFonts w:hint="eastAsia"/>
                <w:color w:val="auto"/>
              </w:rPr>
              <w:t>1</w:t>
            </w:r>
            <w:r>
              <w:rPr>
                <w:rFonts w:hint="eastAsia"/>
                <w:color w:val="auto"/>
                <w:lang w:val="en-US" w:eastAsia="zh-CN"/>
              </w:rPr>
              <w:t>1</w:t>
            </w:r>
          </w:p>
        </w:tc>
        <w:tc>
          <w:tcPr>
            <w:tcW w:w="1520"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52379D0">
            <w:pPr>
              <w:pStyle w:val="179"/>
              <w:rPr>
                <w:color w:val="auto"/>
              </w:rPr>
            </w:pPr>
            <w:r>
              <w:rPr>
                <w:rFonts w:hint="eastAsia"/>
                <w:color w:val="auto"/>
              </w:rPr>
              <w:t>信号司索工</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04C5E1">
            <w:pPr>
              <w:pStyle w:val="179"/>
              <w:rPr>
                <w:color w:val="auto"/>
              </w:rPr>
            </w:pPr>
            <w:r>
              <w:rPr>
                <w:rFonts w:hint="eastAsia"/>
                <w:color w:val="auto"/>
              </w:rPr>
              <w:t>建筑施工特种作业操作资格证书</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0DBE">
            <w:pPr>
              <w:pStyle w:val="179"/>
              <w:rPr>
                <w:color w:val="auto"/>
              </w:rPr>
            </w:pPr>
            <w:r>
              <w:rPr>
                <w:rFonts w:hint="eastAsia"/>
                <w:color w:val="auto"/>
              </w:rPr>
              <w:t>北京市住房和城乡建设委员会</w:t>
            </w:r>
          </w:p>
        </w:tc>
      </w:tr>
      <w:tr w14:paraId="0D34DDA2">
        <w:tblPrEx>
          <w:tblCellMar>
            <w:top w:w="0" w:type="dxa"/>
            <w:left w:w="0" w:type="dxa"/>
            <w:bottom w:w="0" w:type="dxa"/>
            <w:right w:w="0" w:type="dxa"/>
          </w:tblCellMar>
        </w:tblPrEx>
        <w:trPr>
          <w:trHeight w:val="380" w:hRule="atLeast"/>
        </w:trPr>
        <w:tc>
          <w:tcPr>
            <w:tcW w:w="421" w:type="pct"/>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14:paraId="19D3F97A">
            <w:pPr>
              <w:pStyle w:val="179"/>
              <w:rPr>
                <w:rFonts w:hint="eastAsia" w:eastAsia="宋体"/>
                <w:color w:val="auto"/>
                <w:lang w:eastAsia="zh-CN"/>
              </w:rPr>
            </w:pPr>
            <w:r>
              <w:rPr>
                <w:rFonts w:hint="eastAsia"/>
                <w:color w:val="auto"/>
                <w:lang w:val="en-US" w:eastAsia="zh-CN"/>
              </w:rPr>
              <w:t>12</w:t>
            </w:r>
          </w:p>
        </w:tc>
        <w:tc>
          <w:tcPr>
            <w:tcW w:w="1520" w:type="pct"/>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14:paraId="7416701E">
            <w:pPr>
              <w:pStyle w:val="179"/>
              <w:rPr>
                <w:color w:val="auto"/>
              </w:rPr>
            </w:pPr>
            <w:r>
              <w:rPr>
                <w:rFonts w:hint="eastAsia"/>
                <w:color w:val="auto"/>
              </w:rPr>
              <w:t>起重指挥</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D834F3">
            <w:pPr>
              <w:pStyle w:val="179"/>
              <w:rPr>
                <w:color w:val="auto"/>
                <w:highlight w:val="red"/>
              </w:rPr>
            </w:pPr>
            <w:r>
              <w:rPr>
                <w:rFonts w:hint="eastAsia"/>
                <w:color w:val="auto"/>
              </w:rPr>
              <w:t>特种设备安全管理和作业人员证</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74001B">
            <w:pPr>
              <w:pStyle w:val="179"/>
              <w:rPr>
                <w:color w:val="auto"/>
              </w:rPr>
            </w:pPr>
            <w:r>
              <w:rPr>
                <w:rFonts w:hint="eastAsia"/>
                <w:color w:val="auto"/>
              </w:rPr>
              <w:t>北京市市场监督管理局</w:t>
            </w:r>
          </w:p>
        </w:tc>
      </w:tr>
      <w:tr w14:paraId="6A1080B1">
        <w:tblPrEx>
          <w:tblCellMar>
            <w:top w:w="0" w:type="dxa"/>
            <w:left w:w="0" w:type="dxa"/>
            <w:bottom w:w="0" w:type="dxa"/>
            <w:right w:w="0" w:type="dxa"/>
          </w:tblCellMar>
        </w:tblPrEx>
        <w:trPr>
          <w:trHeight w:val="380" w:hRule="atLeast"/>
        </w:trPr>
        <w:tc>
          <w:tcPr>
            <w:tcW w:w="421" w:type="pct"/>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14:paraId="402750D1">
            <w:pPr>
              <w:pStyle w:val="179"/>
              <w:rPr>
                <w:color w:val="auto"/>
              </w:rPr>
            </w:pPr>
          </w:p>
        </w:tc>
        <w:tc>
          <w:tcPr>
            <w:tcW w:w="1520" w:type="pct"/>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14:paraId="3F5427E9">
            <w:pPr>
              <w:pStyle w:val="179"/>
              <w:rPr>
                <w:color w:val="auto"/>
              </w:rPr>
            </w:pP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8BE226">
            <w:pPr>
              <w:pStyle w:val="179"/>
              <w:rPr>
                <w:color w:val="auto"/>
              </w:rPr>
            </w:pPr>
            <w:r>
              <w:rPr>
                <w:rFonts w:hint="eastAsia"/>
                <w:color w:val="auto"/>
              </w:rPr>
              <w:t>建筑施工特种作业操作资格证书</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F90BE">
            <w:pPr>
              <w:pStyle w:val="179"/>
              <w:rPr>
                <w:color w:val="auto"/>
              </w:rPr>
            </w:pPr>
            <w:r>
              <w:rPr>
                <w:rFonts w:hint="eastAsia"/>
                <w:color w:val="auto"/>
              </w:rPr>
              <w:t>北京市住房和城乡建设委员会</w:t>
            </w:r>
          </w:p>
        </w:tc>
      </w:tr>
      <w:tr w14:paraId="1F6BDA45">
        <w:tblPrEx>
          <w:tblCellMar>
            <w:top w:w="0" w:type="dxa"/>
            <w:left w:w="0" w:type="dxa"/>
            <w:bottom w:w="0" w:type="dxa"/>
            <w:right w:w="0" w:type="dxa"/>
          </w:tblCellMar>
        </w:tblPrEx>
        <w:trPr>
          <w:trHeight w:val="524" w:hRule="atLeast"/>
        </w:trPr>
        <w:tc>
          <w:tcPr>
            <w:tcW w:w="421" w:type="pct"/>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14:paraId="162604EF">
            <w:pPr>
              <w:pStyle w:val="179"/>
              <w:rPr>
                <w:rFonts w:hint="eastAsia" w:eastAsia="宋体"/>
                <w:color w:val="auto"/>
                <w:lang w:eastAsia="zh-CN"/>
              </w:rPr>
            </w:pPr>
            <w:r>
              <w:rPr>
                <w:rFonts w:hint="eastAsia"/>
                <w:color w:val="auto"/>
                <w:lang w:val="en-US" w:eastAsia="zh-CN"/>
              </w:rPr>
              <w:t>13</w:t>
            </w:r>
          </w:p>
        </w:tc>
        <w:tc>
          <w:tcPr>
            <w:tcW w:w="1520" w:type="pct"/>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14:paraId="4B97F740">
            <w:pPr>
              <w:pStyle w:val="179"/>
              <w:rPr>
                <w:color w:val="auto"/>
              </w:rPr>
            </w:pPr>
            <w:r>
              <w:rPr>
                <w:rFonts w:hint="eastAsia"/>
                <w:color w:val="auto"/>
              </w:rPr>
              <w:t>吊车司机</w:t>
            </w: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FF53575">
            <w:pPr>
              <w:pStyle w:val="179"/>
              <w:rPr>
                <w:color w:val="auto"/>
                <w:highlight w:val="red"/>
              </w:rPr>
            </w:pPr>
            <w:r>
              <w:rPr>
                <w:rFonts w:hint="eastAsia"/>
                <w:color w:val="auto"/>
              </w:rPr>
              <w:t>特种设备安全管理和作业人员证</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D108FDD">
            <w:pPr>
              <w:pStyle w:val="179"/>
              <w:rPr>
                <w:color w:val="auto"/>
              </w:rPr>
            </w:pPr>
            <w:r>
              <w:rPr>
                <w:rFonts w:hint="eastAsia"/>
                <w:color w:val="auto"/>
              </w:rPr>
              <w:t>北京市市场监督管理局</w:t>
            </w:r>
          </w:p>
        </w:tc>
      </w:tr>
      <w:tr w14:paraId="02CF53AF">
        <w:tblPrEx>
          <w:tblCellMar>
            <w:top w:w="0" w:type="dxa"/>
            <w:left w:w="0" w:type="dxa"/>
            <w:bottom w:w="0" w:type="dxa"/>
            <w:right w:w="0" w:type="dxa"/>
          </w:tblCellMar>
        </w:tblPrEx>
        <w:trPr>
          <w:trHeight w:val="524" w:hRule="atLeast"/>
        </w:trPr>
        <w:tc>
          <w:tcPr>
            <w:tcW w:w="421" w:type="pct"/>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14:paraId="07A13966">
            <w:pPr>
              <w:pStyle w:val="179"/>
              <w:rPr>
                <w:color w:val="auto"/>
              </w:rPr>
            </w:pPr>
            <w:bookmarkStart w:id="63" w:name="_Toc13548"/>
          </w:p>
        </w:tc>
        <w:tc>
          <w:tcPr>
            <w:tcW w:w="1520" w:type="pct"/>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14:paraId="4F23B799">
            <w:pPr>
              <w:pStyle w:val="179"/>
              <w:rPr>
                <w:color w:val="auto"/>
              </w:rPr>
            </w:pPr>
          </w:p>
        </w:tc>
        <w:tc>
          <w:tcPr>
            <w:tcW w:w="177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47559B">
            <w:pPr>
              <w:pStyle w:val="179"/>
              <w:rPr>
                <w:color w:val="auto"/>
                <w:highlight w:val="red"/>
              </w:rPr>
            </w:pPr>
            <w:r>
              <w:rPr>
                <w:rFonts w:hint="eastAsia"/>
                <w:color w:val="auto"/>
              </w:rPr>
              <w:t>建筑施工特种作业操作资格证书</w:t>
            </w:r>
          </w:p>
        </w:tc>
        <w:tc>
          <w:tcPr>
            <w:tcW w:w="1285"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ABD9CC">
            <w:pPr>
              <w:pStyle w:val="179"/>
              <w:rPr>
                <w:color w:val="auto"/>
              </w:rPr>
            </w:pPr>
            <w:r>
              <w:rPr>
                <w:rFonts w:hint="eastAsia"/>
                <w:color w:val="auto"/>
              </w:rPr>
              <w:t>北京市住房和城乡建设委员会</w:t>
            </w:r>
          </w:p>
        </w:tc>
      </w:tr>
    </w:tbl>
    <w:p w14:paraId="72925B55">
      <w:pPr>
        <w:pStyle w:val="106"/>
        <w:spacing w:before="156" w:after="156"/>
        <w:rPr>
          <w:color w:val="auto"/>
        </w:rPr>
      </w:pPr>
      <w:bookmarkStart w:id="64" w:name="_Toc17956"/>
      <w:bookmarkStart w:id="65" w:name="OLE_LINK11"/>
      <w:r>
        <w:rPr>
          <w:rFonts w:hint="eastAsia"/>
          <w:color w:val="auto"/>
        </w:rPr>
        <w:t>教育培训管理</w:t>
      </w:r>
      <w:bookmarkEnd w:id="63"/>
      <w:bookmarkEnd w:id="64"/>
    </w:p>
    <w:p w14:paraId="73C6C20A">
      <w:pPr>
        <w:pStyle w:val="66"/>
        <w:spacing w:before="156" w:after="156"/>
        <w:rPr>
          <w:color w:val="auto"/>
        </w:rPr>
      </w:pPr>
      <w:r>
        <w:rPr>
          <w:rFonts w:hint="eastAsia"/>
          <w:color w:val="auto"/>
        </w:rPr>
        <w:t>入场教育培训</w:t>
      </w:r>
    </w:p>
    <w:p w14:paraId="07D690F6">
      <w:pPr>
        <w:pStyle w:val="165"/>
        <w:rPr>
          <w:rFonts w:hint="eastAsia"/>
          <w:color w:val="auto"/>
        </w:rPr>
      </w:pPr>
      <w:r>
        <w:rPr>
          <w:rFonts w:hint="eastAsia"/>
          <w:color w:val="auto"/>
        </w:rPr>
        <w:t>作业人员入场前，参建单位</w:t>
      </w:r>
      <w:r>
        <w:rPr>
          <w:rFonts w:hint="eastAsia"/>
          <w:color w:val="auto"/>
          <w:lang w:eastAsia="zh-CN"/>
        </w:rPr>
        <w:t>应</w:t>
      </w:r>
      <w:r>
        <w:rPr>
          <w:rFonts w:hint="eastAsia"/>
          <w:color w:val="auto"/>
        </w:rPr>
        <w:t>组织开展公司、项目、班组三级安全教育培训，告知作业场所及岗位的危险因素、防范措施和事故应急要求，经考核合格后方可上岗。</w:t>
      </w:r>
    </w:p>
    <w:p w14:paraId="4540F59F">
      <w:pPr>
        <w:pStyle w:val="165"/>
        <w:rPr>
          <w:rFonts w:hint="eastAsia"/>
          <w:color w:val="auto"/>
          <w:highlight w:val="none"/>
        </w:rPr>
      </w:pPr>
      <w:r>
        <w:rPr>
          <w:rFonts w:hint="eastAsia"/>
          <w:color w:val="auto"/>
          <w:highlight w:val="none"/>
        </w:rPr>
        <w:t>三级安全教育总学时不得少于50学时（公司级、项目级各不少于15学时，班组级不少于20学时），</w:t>
      </w:r>
      <w:r>
        <w:rPr>
          <w:rFonts w:hint="eastAsia"/>
          <w:color w:val="auto"/>
          <w:highlight w:val="none"/>
          <w:lang w:val="en-US" w:eastAsia="zh-CN"/>
        </w:rPr>
        <w:t>学习内容</w:t>
      </w:r>
      <w:r>
        <w:rPr>
          <w:rFonts w:hint="eastAsia"/>
          <w:color w:val="auto"/>
          <w:highlight w:val="none"/>
        </w:rPr>
        <w:t>应</w:t>
      </w:r>
      <w:r>
        <w:rPr>
          <w:rFonts w:hint="eastAsia"/>
          <w:color w:val="auto"/>
          <w:highlight w:val="none"/>
          <w:lang w:val="en-US" w:eastAsia="zh-CN"/>
        </w:rPr>
        <w:t>包含</w:t>
      </w:r>
      <w:r>
        <w:rPr>
          <w:rFonts w:hint="eastAsia"/>
          <w:color w:val="auto"/>
          <w:highlight w:val="none"/>
        </w:rPr>
        <w:t>完成不少于4学时的岗位技能培训。培训内容须针对供热工程特点，涵盖高温高压设备、有限空间、易燃易爆介质、季节性施工等专项安全知识、操作技能及应急处置措施。</w:t>
      </w:r>
    </w:p>
    <w:p w14:paraId="6F6AEC37">
      <w:pPr>
        <w:pStyle w:val="165"/>
        <w:rPr>
          <w:rFonts w:hint="eastAsia"/>
          <w:color w:val="auto"/>
        </w:rPr>
      </w:pPr>
      <w:r>
        <w:rPr>
          <w:rFonts w:hint="eastAsia"/>
          <w:color w:val="auto"/>
        </w:rPr>
        <w:t>施工单位应为每名作业人员建立个人安全培训档案，如实记录三级安全教育的实施过程、考核结果及后续再培训情况。未经三级安全教育并考核合格的人员，严禁进入施工现场作业。</w:t>
      </w:r>
    </w:p>
    <w:p w14:paraId="203F5D7E">
      <w:pPr>
        <w:pStyle w:val="66"/>
        <w:spacing w:before="156" w:after="156"/>
        <w:rPr>
          <w:color w:val="auto"/>
        </w:rPr>
      </w:pPr>
      <w:r>
        <w:rPr>
          <w:rFonts w:hint="eastAsia"/>
          <w:color w:val="auto"/>
        </w:rPr>
        <w:t>班前教育</w:t>
      </w:r>
    </w:p>
    <w:p w14:paraId="2735EBD9">
      <w:pPr>
        <w:pStyle w:val="165"/>
        <w:rPr>
          <w:rFonts w:hint="eastAsia"/>
          <w:color w:val="auto"/>
        </w:rPr>
      </w:pPr>
      <w:r>
        <w:rPr>
          <w:rFonts w:hint="eastAsia"/>
          <w:color w:val="auto"/>
        </w:rPr>
        <w:t>每日作业前，班组长须组织全体班组人员开展班前安全教育，时长不得少于5分钟，并对出勤情况予以记录。</w:t>
      </w:r>
    </w:p>
    <w:p w14:paraId="235558D1">
      <w:pPr>
        <w:pStyle w:val="165"/>
        <w:rPr>
          <w:rFonts w:hint="eastAsia"/>
          <w:color w:val="auto"/>
        </w:rPr>
      </w:pPr>
      <w:r>
        <w:rPr>
          <w:rFonts w:hint="eastAsia"/>
          <w:color w:val="auto"/>
        </w:rPr>
        <w:t>班前教育应结合当日作业任务，明确告知危险因素、安全操作规程、防护措施及应急处置要求。</w:t>
      </w:r>
    </w:p>
    <w:p w14:paraId="1CB48595">
      <w:pPr>
        <w:pStyle w:val="165"/>
        <w:rPr>
          <w:rFonts w:hint="eastAsia"/>
          <w:color w:val="auto"/>
        </w:rPr>
      </w:pPr>
      <w:r>
        <w:rPr>
          <w:rFonts w:hint="eastAsia"/>
          <w:color w:val="auto"/>
        </w:rPr>
        <w:t>施工单位应建立健全班前教育责任体系与监督机制，项目专职安全管理人员负责日常检查指导，项目经理应定期抽查实施情况。</w:t>
      </w:r>
    </w:p>
    <w:p w14:paraId="34158989">
      <w:pPr>
        <w:pStyle w:val="165"/>
        <w:rPr>
          <w:rFonts w:hint="eastAsia"/>
          <w:color w:val="auto"/>
        </w:rPr>
      </w:pPr>
      <w:r>
        <w:rPr>
          <w:rFonts w:hint="eastAsia"/>
          <w:color w:val="auto"/>
        </w:rPr>
        <w:t>班前教育应保留书面记录，内容至少包括：教育时间、地点、主持人、出勤人员、主要教育内容。记录应存档备查，格式参见附录B。</w:t>
      </w:r>
    </w:p>
    <w:p w14:paraId="5F62FDF2">
      <w:pPr>
        <w:pStyle w:val="66"/>
        <w:spacing w:before="156" w:after="156"/>
        <w:rPr>
          <w:color w:val="auto"/>
        </w:rPr>
      </w:pPr>
      <w:r>
        <w:rPr>
          <w:rFonts w:hint="eastAsia"/>
          <w:color w:val="auto"/>
        </w:rPr>
        <w:t>安全技术交底</w:t>
      </w:r>
    </w:p>
    <w:p w14:paraId="6AD84E50">
      <w:pPr>
        <w:pStyle w:val="165"/>
        <w:rPr>
          <w:rFonts w:hint="eastAsia"/>
          <w:color w:val="auto"/>
        </w:rPr>
      </w:pPr>
      <w:r>
        <w:rPr>
          <w:rFonts w:ascii="Segoe UI" w:hAnsi="Segoe UI" w:cs="Segoe UI"/>
          <w:color w:val="auto"/>
          <w:shd w:val="clear" w:color="auto" w:fill="FFFFFF"/>
        </w:rPr>
        <w:t>分部分项工程及危险性较大作业实施前（如热力管线焊接、带压作业、有限空间作业、沟槽开挖支护等），项目技术负责人</w:t>
      </w:r>
      <w:r>
        <w:rPr>
          <w:rFonts w:hint="eastAsia" w:ascii="Segoe UI" w:hAnsi="Segoe UI" w:cs="Segoe UI"/>
          <w:color w:val="auto"/>
          <w:shd w:val="clear" w:color="auto" w:fill="FFFFFF"/>
        </w:rPr>
        <w:t>应</w:t>
      </w:r>
      <w:r>
        <w:rPr>
          <w:rFonts w:ascii="Segoe UI" w:hAnsi="Segoe UI" w:cs="Segoe UI"/>
          <w:color w:val="auto"/>
          <w:shd w:val="clear" w:color="auto" w:fill="FFFFFF"/>
        </w:rPr>
        <w:t>向现场管理人员、班组长及全体作业人员进行书面安全技术交底。交底内容应结合热力管线高温高压、易燃易爆特性编制，严禁未交底先施工。</w:t>
      </w:r>
    </w:p>
    <w:p w14:paraId="5D118F5A">
      <w:pPr>
        <w:pStyle w:val="165"/>
        <w:rPr>
          <w:rFonts w:hint="eastAsia"/>
          <w:color w:val="auto"/>
        </w:rPr>
      </w:pPr>
      <w:r>
        <w:rPr>
          <w:rFonts w:hint="eastAsia"/>
          <w:color w:val="auto"/>
        </w:rPr>
        <w:t>安全技术交底内容应具有针对性和可操作性，包括：作业区域管线分布及权属、危险源清单及风险等级、安全防护措施、操作规程、应急处置流程、个人防护装备使用要求；涉及特种作业的，应明确资质管控要求及专项规范。</w:t>
      </w:r>
    </w:p>
    <w:p w14:paraId="667EB053">
      <w:pPr>
        <w:pStyle w:val="165"/>
        <w:rPr>
          <w:rFonts w:hint="eastAsia"/>
          <w:color w:val="auto"/>
        </w:rPr>
      </w:pPr>
      <w:r>
        <w:rPr>
          <w:rFonts w:ascii="Segoe UI" w:hAnsi="Segoe UI" w:cs="Segoe UI"/>
          <w:color w:val="auto"/>
          <w:shd w:val="clear" w:color="auto" w:fill="FFFFFF"/>
        </w:rPr>
        <w:t>多工种协同或交叉作业时，施工单位应组织各参建方及管线权属单位开展专项协同交底，明确各方安全职责、作业界面划分及管线保护措施，防范交叉作业风险。</w:t>
      </w:r>
    </w:p>
    <w:bookmarkEnd w:id="65"/>
    <w:p w14:paraId="3DA86849">
      <w:pPr>
        <w:pStyle w:val="165"/>
        <w:rPr>
          <w:color w:val="auto"/>
        </w:rPr>
      </w:pPr>
      <w:r>
        <w:rPr>
          <w:rFonts w:hint="eastAsia"/>
          <w:color w:val="auto"/>
        </w:rPr>
        <w:t>安全技术交底应履行书面签字手续，由交底人、被交底人及专职安全员本人签字确认，严禁代签或漏签。交底记录应纳入项目安全档案，保存期限不少于3年，格式参见附录A。</w:t>
      </w:r>
    </w:p>
    <w:p w14:paraId="5381B481">
      <w:pPr>
        <w:pStyle w:val="105"/>
        <w:spacing w:before="240" w:after="240"/>
        <w:rPr>
          <w:rFonts w:hint="default"/>
          <w:color w:val="auto"/>
          <w:highlight w:val="none"/>
          <w:lang w:val="en-US" w:eastAsia="zh-CN"/>
        </w:rPr>
      </w:pPr>
      <w:bookmarkStart w:id="66" w:name="_Toc12576"/>
      <w:r>
        <w:rPr>
          <w:rFonts w:hint="eastAsia"/>
          <w:color w:val="auto"/>
          <w:highlight w:val="none"/>
          <w:lang w:val="en-US" w:eastAsia="zh-CN"/>
        </w:rPr>
        <w:t>现场管理</w:t>
      </w:r>
      <w:bookmarkEnd w:id="66"/>
    </w:p>
    <w:p w14:paraId="3384E2EF">
      <w:pPr>
        <w:pStyle w:val="106"/>
        <w:spacing w:before="120" w:after="120"/>
        <w:rPr>
          <w:rFonts w:hint="eastAsia"/>
        </w:rPr>
      </w:pPr>
      <w:bookmarkStart w:id="67" w:name="_Toc17151"/>
      <w:r>
        <w:rPr>
          <w:rFonts w:hint="eastAsia"/>
        </w:rPr>
        <w:t>围挡管理</w:t>
      </w:r>
      <w:bookmarkEnd w:id="67"/>
    </w:p>
    <w:p w14:paraId="30814E53">
      <w:pPr>
        <w:pStyle w:val="66"/>
        <w:spacing w:before="120" w:after="120"/>
        <w:rPr>
          <w:rFonts w:hint="eastAsia"/>
          <w:lang w:val="en-US" w:eastAsia="zh-CN"/>
        </w:rPr>
      </w:pPr>
      <w:r>
        <w:rPr>
          <w:rFonts w:hint="eastAsia"/>
          <w:lang w:val="en-US" w:eastAsia="zh-CN"/>
        </w:rPr>
        <w:t>围挡设置</w:t>
      </w:r>
    </w:p>
    <w:p w14:paraId="4DCD8B13">
      <w:pPr>
        <w:pStyle w:val="165"/>
        <w:rPr>
          <w:rFonts w:hint="eastAsia"/>
          <w:lang w:val="en-US" w:eastAsia="zh-CN"/>
        </w:rPr>
      </w:pPr>
      <w:r>
        <w:rPr>
          <w:rFonts w:hint="eastAsia"/>
          <w:lang w:val="en-US" w:eastAsia="zh-CN"/>
        </w:rPr>
        <w:t>进场施工前，应预先设置连续、封闭的围挡，并采取相应的安全防护措施。围挡应坚固、稳定、整齐、美观，无凸起和尖锐物。</w:t>
      </w:r>
    </w:p>
    <w:p w14:paraId="2B0C7750">
      <w:pPr>
        <w:pStyle w:val="165"/>
        <w:rPr>
          <w:rFonts w:hint="eastAsia"/>
          <w:lang w:val="en-US" w:eastAsia="zh-CN"/>
        </w:rPr>
      </w:pPr>
      <w:r>
        <w:rPr>
          <w:rFonts w:hint="eastAsia"/>
          <w:lang w:val="en-US" w:eastAsia="zh-CN"/>
        </w:rPr>
        <w:t>占路且需24小时连续施工的项目，其围挡设置应符合下列规定：</w:t>
      </w:r>
    </w:p>
    <w:p w14:paraId="67388ADA">
      <w:pPr>
        <w:pStyle w:val="133"/>
        <w:rPr>
          <w:rFonts w:hint="eastAsia"/>
          <w:lang w:val="en-US" w:eastAsia="zh-CN"/>
        </w:rPr>
      </w:pPr>
      <w:r>
        <w:rPr>
          <w:rFonts w:hint="eastAsia"/>
          <w:lang w:val="en-US" w:eastAsia="zh-CN"/>
        </w:rPr>
        <w:t>类型与高度：应采用连续、硬质围挡，高度不应低于2.5米。</w:t>
      </w:r>
    </w:p>
    <w:p w14:paraId="69EC23BE">
      <w:pPr>
        <w:pStyle w:val="133"/>
        <w:rPr>
          <w:rFonts w:hint="eastAsia"/>
          <w:lang w:val="en-US" w:eastAsia="zh-CN"/>
        </w:rPr>
      </w:pPr>
      <w:r>
        <w:rPr>
          <w:rFonts w:hint="eastAsia"/>
          <w:lang w:val="en-US" w:eastAsia="zh-CN"/>
        </w:rPr>
        <w:t>外观与警示：主体颜色宜为绿色；面板宜采用仿真草皮等美观材料；底部应设置橙黄黑相间的斜条纹警示带。</w:t>
      </w:r>
    </w:p>
    <w:p w14:paraId="13076BAA">
      <w:pPr>
        <w:pStyle w:val="133"/>
        <w:rPr>
          <w:rFonts w:hint="eastAsia"/>
          <w:lang w:val="en-US" w:eastAsia="zh-CN"/>
        </w:rPr>
      </w:pPr>
      <w:r>
        <w:rPr>
          <w:rFonts w:hint="eastAsia"/>
          <w:lang w:val="en-US" w:eastAsia="zh-CN"/>
        </w:rPr>
        <w:t>安全防护：围挡临道路侧应设置防撞墩（如充水式水马）或防撞桶，并粘贴反光膜。围挡转角及开口处应采用通透式栅栏或设置广角镜，确保行车与行人安全视距。</w:t>
      </w:r>
    </w:p>
    <w:p w14:paraId="41F0F143">
      <w:pPr>
        <w:pStyle w:val="133"/>
        <w:rPr>
          <w:rFonts w:hint="eastAsia"/>
          <w:lang w:val="en-US" w:eastAsia="zh-CN"/>
        </w:rPr>
      </w:pPr>
      <w:r>
        <w:rPr>
          <w:rFonts w:hint="eastAsia"/>
          <w:lang w:val="en-US" w:eastAsia="zh-CN"/>
        </w:rPr>
        <w:t>特殊要求：施工机械、材料出入口应设置可启闭的坚固大门，大门外侧应标明工程名称与施工单位。</w:t>
      </w:r>
    </w:p>
    <w:p w14:paraId="038001D6">
      <w:pPr>
        <w:pStyle w:val="165"/>
        <w:rPr>
          <w:rFonts w:hint="eastAsia"/>
          <w:lang w:val="en-US" w:eastAsia="zh-CN"/>
        </w:rPr>
      </w:pPr>
      <w:r>
        <w:rPr>
          <w:rFonts w:hint="eastAsia"/>
          <w:lang w:val="en-US" w:eastAsia="zh-CN"/>
        </w:rPr>
        <w:t>占路且仅进行夜间施工（如铣刨、摊铺）的项目，其围挡设置应符合下列规定：</w:t>
      </w:r>
    </w:p>
    <w:p w14:paraId="223F7CC1">
      <w:pPr>
        <w:pStyle w:val="133"/>
        <w:rPr>
          <w:rFonts w:hint="eastAsia"/>
          <w:lang w:val="en-US" w:eastAsia="zh-CN"/>
        </w:rPr>
      </w:pPr>
      <w:r>
        <w:rPr>
          <w:rFonts w:hint="eastAsia"/>
          <w:lang w:val="en-US" w:eastAsia="zh-CN"/>
        </w:rPr>
        <w:t>类型与设置：应采用水马、防撞沙桶、警示柱等可移动设施进行临时围护，设施之间应连续，不应留有缺口。</w:t>
      </w:r>
    </w:p>
    <w:p w14:paraId="54DD1FAA">
      <w:pPr>
        <w:pStyle w:val="133"/>
        <w:rPr>
          <w:rFonts w:hint="eastAsia"/>
          <w:lang w:val="en-US" w:eastAsia="zh-CN"/>
        </w:rPr>
      </w:pPr>
      <w:r>
        <w:rPr>
          <w:rFonts w:hint="eastAsia"/>
          <w:lang w:val="en-US" w:eastAsia="zh-CN"/>
        </w:rPr>
        <w:t>警示照明：所有临时围挡设施顶部应设置主动发光的警示灯，警示灯应能持续闪烁或常亮。</w:t>
      </w:r>
    </w:p>
    <w:p w14:paraId="27305B29">
      <w:pPr>
        <w:pStyle w:val="133"/>
        <w:rPr>
          <w:rFonts w:hint="eastAsia"/>
          <w:lang w:val="en-US" w:eastAsia="zh-CN"/>
        </w:rPr>
      </w:pPr>
      <w:r>
        <w:rPr>
          <w:rFonts w:hint="eastAsia"/>
          <w:lang w:val="en-US" w:eastAsia="zh-CN"/>
        </w:rPr>
        <w:t>交通导行：临时围挡的布设应同步设置完整的交通导行标志、标线及提示牌，并应符合DB11/T 854等地方标准的规定。</w:t>
      </w:r>
    </w:p>
    <w:p w14:paraId="217169EE">
      <w:pPr>
        <w:pStyle w:val="165"/>
        <w:rPr>
          <w:rFonts w:hint="eastAsia"/>
          <w:lang w:val="en-US" w:eastAsia="zh-CN"/>
        </w:rPr>
      </w:pPr>
      <w:r>
        <w:rPr>
          <w:rFonts w:hint="eastAsia"/>
          <w:lang w:val="en-US" w:eastAsia="zh-CN"/>
        </w:rPr>
        <w:t>位于居住区、庭院等封闭场地内24小时连续施工的项目，其围挡设置应符合下列规定：</w:t>
      </w:r>
    </w:p>
    <w:p w14:paraId="4CB3A1CB">
      <w:pPr>
        <w:pStyle w:val="133"/>
        <w:rPr>
          <w:rFonts w:hint="eastAsia"/>
          <w:lang w:val="en-US" w:eastAsia="zh-CN"/>
        </w:rPr>
      </w:pPr>
      <w:r>
        <w:rPr>
          <w:rFonts w:hint="eastAsia"/>
          <w:lang w:val="en-US" w:eastAsia="zh-CN"/>
        </w:rPr>
        <w:t>类型与高度：应采用硬质围挡，高度不应低于1.8米，并应考虑对居民采光与通风的影响。</w:t>
      </w:r>
    </w:p>
    <w:p w14:paraId="533EF6E5">
      <w:pPr>
        <w:pStyle w:val="133"/>
        <w:rPr>
          <w:rFonts w:hint="eastAsia"/>
          <w:lang w:val="en-US" w:eastAsia="zh-CN"/>
        </w:rPr>
      </w:pPr>
      <w:r>
        <w:rPr>
          <w:rFonts w:hint="eastAsia"/>
          <w:lang w:val="en-US" w:eastAsia="zh-CN"/>
        </w:rPr>
        <w:t>外观与降噪：围挡外侧宜进行美化处理；靠近住宅楼一侧，宜采用具有吸声功能的围挡板材或加装隔音毯，以降低施工噪声影响。</w:t>
      </w:r>
    </w:p>
    <w:p w14:paraId="0EE7FE91">
      <w:pPr>
        <w:pStyle w:val="133"/>
        <w:rPr>
          <w:rFonts w:hint="eastAsia"/>
          <w:lang w:val="en-US" w:eastAsia="zh-CN"/>
        </w:rPr>
      </w:pPr>
      <w:r>
        <w:rPr>
          <w:rFonts w:hint="eastAsia"/>
          <w:lang w:val="en-US" w:eastAsia="zh-CN"/>
        </w:rPr>
        <w:t>安全警示：围挡外侧应设置明显的“施工重地、闲人免进”等警示语。夜间应在围挡顶部间隔设置警示灯。</w:t>
      </w:r>
    </w:p>
    <w:p w14:paraId="25ADF9BC">
      <w:pPr>
        <w:pStyle w:val="133"/>
        <w:rPr>
          <w:rFonts w:hint="eastAsia"/>
          <w:lang w:val="en-US" w:eastAsia="zh-CN"/>
        </w:rPr>
      </w:pPr>
      <w:r>
        <w:rPr>
          <w:rFonts w:hint="eastAsia"/>
          <w:lang w:val="en-US" w:eastAsia="zh-CN"/>
        </w:rPr>
        <w:t>居民通道：应预留安全、通畅的居民临时通道，通道口应设专人值守或设置醒目的安全提示。</w:t>
      </w:r>
    </w:p>
    <w:p w14:paraId="331F64AC">
      <w:pPr>
        <w:pStyle w:val="66"/>
        <w:spacing w:before="120" w:after="120"/>
        <w:rPr>
          <w:rFonts w:hint="eastAsia"/>
          <w:lang w:val="en-US" w:eastAsia="zh-CN"/>
        </w:rPr>
      </w:pPr>
      <w:r>
        <w:rPr>
          <w:rFonts w:hint="eastAsia"/>
        </w:rPr>
        <w:t>九</w:t>
      </w:r>
      <w:r>
        <w:rPr>
          <w:rFonts w:hint="eastAsia"/>
          <w:lang w:val="en-US" w:eastAsia="zh-CN"/>
        </w:rPr>
        <w:t>牌一图一公告</w:t>
      </w:r>
    </w:p>
    <w:p w14:paraId="26D353E2">
      <w:pPr>
        <w:pStyle w:val="165"/>
        <w:rPr>
          <w:rFonts w:hint="eastAsia"/>
          <w:lang w:val="en-US" w:eastAsia="zh-CN"/>
        </w:rPr>
      </w:pPr>
      <w:r>
        <w:rPr>
          <w:rFonts w:hint="eastAsia"/>
          <w:lang w:val="en-US" w:eastAsia="zh-CN"/>
        </w:rPr>
        <w:t>施工现场应在围挡出入口或醒目位置集中设置“九牌一图一公告”，。其内容应包括：</w:t>
      </w:r>
    </w:p>
    <w:p w14:paraId="43E57C4B">
      <w:pPr>
        <w:pStyle w:val="133"/>
        <w:rPr>
          <w:rFonts w:hint="eastAsia"/>
          <w:lang w:val="en-US" w:eastAsia="zh-CN"/>
        </w:rPr>
      </w:pPr>
      <w:r>
        <w:rPr>
          <w:rFonts w:hint="eastAsia"/>
          <w:lang w:val="en-US" w:eastAsia="zh-CN"/>
        </w:rPr>
        <w:t>九牌：工程概况牌、安全生产管理制度牌、消防保卫管理制度牌、文明施工管理制度牌、施工诉求小助手牌、“安全帽”警示牌、“闲人免进”警示牌、管理人员名单及监督电话牌；占路施工时，应增设占路施工监管公示牌；</w:t>
      </w:r>
    </w:p>
    <w:p w14:paraId="774F302F">
      <w:pPr>
        <w:pStyle w:val="133"/>
        <w:rPr>
          <w:rFonts w:hint="eastAsia"/>
          <w:lang w:val="en-US" w:eastAsia="zh-CN"/>
        </w:rPr>
      </w:pPr>
      <w:r>
        <w:rPr>
          <w:rFonts w:hint="eastAsia"/>
          <w:lang w:val="en-US" w:eastAsia="zh-CN"/>
        </w:rPr>
        <w:t>一图：施工现场总平面布置图；</w:t>
      </w:r>
    </w:p>
    <w:p w14:paraId="3519E3DF">
      <w:pPr>
        <w:pStyle w:val="133"/>
        <w:rPr>
          <w:rFonts w:hint="eastAsia"/>
          <w:lang w:val="en-US" w:eastAsia="zh-CN"/>
        </w:rPr>
      </w:pPr>
      <w:r>
        <w:rPr>
          <w:rFonts w:hint="eastAsia"/>
          <w:lang w:val="en-US" w:eastAsia="zh-CN"/>
        </w:rPr>
        <w:t>一公告：施工公告。</w:t>
      </w:r>
    </w:p>
    <w:p w14:paraId="17F64A1D">
      <w:pPr>
        <w:pStyle w:val="165"/>
        <w:rPr>
          <w:rFonts w:hint="eastAsia"/>
          <w:lang w:val="en-US" w:eastAsia="zh-CN"/>
        </w:rPr>
      </w:pPr>
      <w:r>
        <w:rPr>
          <w:rFonts w:hint="eastAsia"/>
          <w:lang w:val="en-US" w:eastAsia="zh-CN"/>
        </w:rPr>
        <w:t>“九牌一图一公告”的设置应符合下列规定：</w:t>
      </w:r>
    </w:p>
    <w:p w14:paraId="72F173BF">
      <w:pPr>
        <w:pStyle w:val="133"/>
        <w:rPr>
          <w:rFonts w:hint="eastAsia"/>
          <w:lang w:val="en-US" w:eastAsia="zh-CN"/>
        </w:rPr>
      </w:pPr>
      <w:r>
        <w:rPr>
          <w:rFonts w:hint="eastAsia"/>
          <w:lang w:val="en-US" w:eastAsia="zh-CN"/>
        </w:rPr>
        <w:t>标牌尺寸：常规标牌宜采用竖版，尺寸为700mm×900mm。施工现场总平面图可根据现场布置确定适宜尺寸，施工公告可采用A4纸塑封；</w:t>
      </w:r>
    </w:p>
    <w:p w14:paraId="3CA17AE7">
      <w:pPr>
        <w:pStyle w:val="133"/>
        <w:rPr>
          <w:rFonts w:hint="eastAsia"/>
          <w:lang w:val="en-US" w:eastAsia="zh-CN"/>
        </w:rPr>
      </w:pPr>
      <w:r>
        <w:rPr>
          <w:rFonts w:hint="eastAsia"/>
          <w:lang w:val="en-US" w:eastAsia="zh-CN"/>
        </w:rPr>
        <w:t>设置位置与数量：对于同一线性工程固定围挡，线性工程每公里设置一组“九牌一图一公告”；施工诉求小助手牌宜每隔200m设置一个；围挡出入口处应设置“安全帽”警示牌和“闲人免进”警示牌；仅进行夜间施工的临时围挡区域，每100m范围内应设置至少一组移动式施工标牌；</w:t>
      </w:r>
    </w:p>
    <w:p w14:paraId="69BFF1C1">
      <w:pPr>
        <w:pStyle w:val="133"/>
        <w:rPr>
          <w:rFonts w:hint="eastAsia"/>
          <w:lang w:val="en-US" w:eastAsia="zh-CN"/>
        </w:rPr>
      </w:pPr>
      <w:r>
        <w:rPr>
          <w:rFonts w:hint="eastAsia"/>
          <w:lang w:val="en-US" w:eastAsia="zh-CN"/>
        </w:rPr>
        <w:t>安装方式：标牌应安装牢固、整齐，便于观看。固定于硬质围挡时，应采用膨胀螺栓或焊接等方式可靠连接；采用移动式支架时，支架应具备足够的稳定性（如底部配重）和抗风能力。</w:t>
      </w:r>
    </w:p>
    <w:p w14:paraId="7C4BC080">
      <w:pPr>
        <w:pStyle w:val="165"/>
        <w:rPr>
          <w:rFonts w:hint="eastAsia"/>
          <w:lang w:val="en-US" w:eastAsia="zh-CN"/>
        </w:rPr>
      </w:pPr>
      <w:r>
        <w:rPr>
          <w:rFonts w:hint="eastAsia"/>
          <w:lang w:val="en-US" w:eastAsia="zh-CN"/>
        </w:rPr>
        <w:t>“九牌一图一公告”应实施动态管理：</w:t>
      </w:r>
    </w:p>
    <w:p w14:paraId="71E1F281">
      <w:pPr>
        <w:pStyle w:val="133"/>
        <w:rPr>
          <w:rFonts w:hint="eastAsia"/>
          <w:lang w:val="en-US" w:eastAsia="zh-CN"/>
        </w:rPr>
      </w:pPr>
      <w:r>
        <w:rPr>
          <w:rFonts w:hint="eastAsia"/>
          <w:lang w:val="en-US" w:eastAsia="zh-CN"/>
        </w:rPr>
        <w:t>当工程信息、管理人员、平面布置等发生变化时，相关标牌内容应在24小时内更新，可采用“可更换插页”布置方式以便信息更新。</w:t>
      </w:r>
    </w:p>
    <w:p w14:paraId="4D425564">
      <w:pPr>
        <w:pStyle w:val="133"/>
        <w:rPr>
          <w:rFonts w:hint="eastAsia"/>
          <w:lang w:val="en-US" w:eastAsia="zh-CN"/>
        </w:rPr>
      </w:pPr>
      <w:r>
        <w:rPr>
          <w:rFonts w:hint="eastAsia"/>
          <w:lang w:val="en-US" w:eastAsia="zh-CN"/>
        </w:rPr>
        <w:t>标牌应保持完整、清洁、字迹清晰。移动式标牌在项目地点变更时应及时拆除、转运并重新设置。</w:t>
      </w:r>
    </w:p>
    <w:p w14:paraId="7D8EDAB7">
      <w:pPr>
        <w:pStyle w:val="133"/>
        <w:rPr>
          <w:rFonts w:hint="eastAsia"/>
          <w:lang w:val="en-US" w:eastAsia="zh-CN"/>
        </w:rPr>
      </w:pPr>
      <w:r>
        <w:rPr>
          <w:rFonts w:hint="eastAsia"/>
          <w:lang w:val="en-US" w:eastAsia="zh-CN"/>
        </w:rPr>
        <w:t>施工单位应指定专人负责标牌的日常检查与维护。</w:t>
      </w:r>
    </w:p>
    <w:p w14:paraId="052ADD69">
      <w:pPr>
        <w:pStyle w:val="106"/>
        <w:spacing w:before="120" w:after="120"/>
        <w:rPr>
          <w:rFonts w:hint="eastAsia"/>
        </w:rPr>
      </w:pPr>
      <w:bookmarkStart w:id="68" w:name="_Toc30491"/>
      <w:r>
        <w:rPr>
          <w:rFonts w:hint="eastAsia"/>
        </w:rPr>
        <w:t>标志管理</w:t>
      </w:r>
      <w:bookmarkEnd w:id="68"/>
    </w:p>
    <w:p w14:paraId="6B515004">
      <w:pPr>
        <w:pStyle w:val="66"/>
        <w:spacing w:before="120" w:after="120"/>
        <w:rPr>
          <w:rFonts w:hint="eastAsia"/>
          <w:lang w:val="en-US" w:eastAsia="zh-CN"/>
        </w:rPr>
      </w:pPr>
      <w:r>
        <w:rPr>
          <w:rFonts w:hint="eastAsia"/>
          <w:lang w:val="en-US" w:eastAsia="zh-CN"/>
        </w:rPr>
        <w:t>一般规定</w:t>
      </w:r>
    </w:p>
    <w:p w14:paraId="57D19775">
      <w:pPr>
        <w:pStyle w:val="165"/>
        <w:rPr>
          <w:rFonts w:hint="eastAsia"/>
          <w:lang w:val="en-US" w:eastAsia="zh-CN"/>
        </w:rPr>
      </w:pPr>
      <w:r>
        <w:rPr>
          <w:rFonts w:hint="eastAsia"/>
          <w:lang w:val="en-US" w:eastAsia="zh-CN"/>
        </w:rPr>
        <w:t>安全标志分为警告标志、禁止标志、指令标志和提示标志四大类。常用标志示例参见附录D。</w:t>
      </w:r>
    </w:p>
    <w:p w14:paraId="72FDC4EB">
      <w:pPr>
        <w:pStyle w:val="165"/>
        <w:rPr>
          <w:rFonts w:hint="eastAsia"/>
          <w:lang w:val="en-US" w:eastAsia="zh-CN"/>
        </w:rPr>
      </w:pPr>
      <w:r>
        <w:rPr>
          <w:rFonts w:hint="eastAsia"/>
          <w:lang w:val="en-US" w:eastAsia="zh-CN"/>
        </w:rPr>
        <w:t>所有安全标志应设在与安全相关的醒目位置，确保有足够的观察距离，避免被移动物体遮挡。标志设置后不应妨碍正常通行和作业。</w:t>
      </w:r>
    </w:p>
    <w:p w14:paraId="2ECF8ABA">
      <w:pPr>
        <w:pStyle w:val="66"/>
        <w:spacing w:before="120" w:after="120"/>
        <w:rPr>
          <w:rFonts w:hint="eastAsia"/>
          <w:lang w:val="en-US" w:eastAsia="zh-CN"/>
        </w:rPr>
      </w:pPr>
      <w:r>
        <w:rPr>
          <w:rFonts w:hint="eastAsia"/>
          <w:lang w:val="en-US" w:eastAsia="zh-CN"/>
        </w:rPr>
        <w:t>安全标志分类与设置</w:t>
      </w:r>
    </w:p>
    <w:p w14:paraId="64FF372A">
      <w:pPr>
        <w:pStyle w:val="165"/>
        <w:rPr>
          <w:rFonts w:hint="eastAsia"/>
          <w:lang w:val="en-US" w:eastAsia="zh-CN"/>
        </w:rPr>
      </w:pPr>
      <w:r>
        <w:rPr>
          <w:rFonts w:hint="eastAsia"/>
          <w:lang w:val="en-US" w:eastAsia="zh-CN"/>
        </w:rPr>
        <w:t>在同一地点设置多个标志时，应按警告、禁止、指令、提示的顺序，遵循先左后右、先上后下的原则排列。</w:t>
      </w:r>
    </w:p>
    <w:p w14:paraId="4B4EDE00">
      <w:pPr>
        <w:pStyle w:val="165"/>
        <w:rPr>
          <w:rFonts w:hint="eastAsia"/>
          <w:lang w:val="en-US" w:eastAsia="zh-CN"/>
        </w:rPr>
      </w:pPr>
      <w:r>
        <w:rPr>
          <w:rFonts w:hint="eastAsia"/>
          <w:lang w:val="en-US" w:eastAsia="zh-CN"/>
        </w:rPr>
        <w:t>施工现场下列危险部位与场所应设置相应的安全标志：</w:t>
      </w:r>
    </w:p>
    <w:p w14:paraId="11284D0E">
      <w:pPr>
        <w:pStyle w:val="133"/>
        <w:rPr>
          <w:rFonts w:hint="eastAsia"/>
          <w:lang w:val="en-US" w:eastAsia="zh-CN"/>
        </w:rPr>
      </w:pPr>
      <w:r>
        <w:rPr>
          <w:rFonts w:hint="eastAsia"/>
          <w:lang w:val="en-US" w:eastAsia="zh-CN"/>
        </w:rPr>
        <w:t>各类通道口、楼梯口、电梯井口、预留洞口及基坑、管沟、水池等临边处；</w:t>
      </w:r>
    </w:p>
    <w:p w14:paraId="7B5E7B35">
      <w:pPr>
        <w:pStyle w:val="133"/>
        <w:rPr>
          <w:rFonts w:hint="eastAsia"/>
          <w:lang w:val="en-US" w:eastAsia="zh-CN"/>
        </w:rPr>
      </w:pPr>
      <w:r>
        <w:rPr>
          <w:rFonts w:hint="eastAsia"/>
          <w:lang w:val="en-US" w:eastAsia="zh-CN"/>
        </w:rPr>
        <w:t>高差超过1.5米的临边部位；</w:t>
      </w:r>
    </w:p>
    <w:p w14:paraId="606E577A">
      <w:pPr>
        <w:pStyle w:val="133"/>
        <w:rPr>
          <w:rFonts w:hint="eastAsia"/>
          <w:lang w:val="en-US" w:eastAsia="zh-CN"/>
        </w:rPr>
      </w:pPr>
      <w:r>
        <w:rPr>
          <w:rFonts w:hint="eastAsia"/>
          <w:lang w:val="en-US" w:eastAsia="zh-CN"/>
        </w:rPr>
        <w:t>爆破、起重、动火、有限空间、高处作业、临时用电等危险作业区域；</w:t>
      </w:r>
    </w:p>
    <w:p w14:paraId="1FB8C6B7">
      <w:pPr>
        <w:pStyle w:val="133"/>
        <w:rPr>
          <w:rFonts w:hint="eastAsia"/>
          <w:lang w:val="en-US" w:eastAsia="zh-CN"/>
        </w:rPr>
      </w:pPr>
      <w:r>
        <w:rPr>
          <w:rFonts w:hint="eastAsia"/>
          <w:lang w:val="en-US" w:eastAsia="zh-CN"/>
        </w:rPr>
        <w:t>易燃、易爆、有毒、有害等危险化学品及物料存放处；</w:t>
      </w:r>
    </w:p>
    <w:p w14:paraId="2FF20A01">
      <w:pPr>
        <w:pStyle w:val="133"/>
        <w:rPr>
          <w:rFonts w:hint="eastAsia"/>
          <w:lang w:val="en-US" w:eastAsia="zh-CN"/>
        </w:rPr>
      </w:pPr>
      <w:r>
        <w:rPr>
          <w:rFonts w:hint="eastAsia"/>
          <w:lang w:val="en-US" w:eastAsia="zh-CN"/>
        </w:rPr>
        <w:t>配电箱（柜）、变压器、发电机等临时用电设施处；</w:t>
      </w:r>
    </w:p>
    <w:p w14:paraId="0574B9AB">
      <w:pPr>
        <w:pStyle w:val="133"/>
        <w:rPr>
          <w:rFonts w:hint="eastAsia"/>
          <w:lang w:val="en-US" w:eastAsia="zh-CN"/>
        </w:rPr>
      </w:pPr>
      <w:r>
        <w:rPr>
          <w:rFonts w:hint="eastAsia"/>
          <w:lang w:val="en-US" w:eastAsia="zh-CN"/>
        </w:rPr>
        <w:t>施工机械、设备操作及检修区域；</w:t>
      </w:r>
    </w:p>
    <w:p w14:paraId="2E1D7E08">
      <w:pPr>
        <w:pStyle w:val="133"/>
        <w:rPr>
          <w:rFonts w:hint="eastAsia"/>
          <w:lang w:val="en-US" w:eastAsia="zh-CN"/>
        </w:rPr>
      </w:pPr>
      <w:r>
        <w:rPr>
          <w:rFonts w:hint="eastAsia"/>
          <w:lang w:val="en-US" w:eastAsia="zh-CN"/>
        </w:rPr>
        <w:t>其他可能产生坠落、打击、触电、灼烫等危险的部位。</w:t>
      </w:r>
    </w:p>
    <w:p w14:paraId="06658867">
      <w:pPr>
        <w:pStyle w:val="165"/>
        <w:rPr>
          <w:rFonts w:hint="eastAsia"/>
          <w:lang w:val="en-US" w:eastAsia="zh-CN"/>
        </w:rPr>
      </w:pPr>
      <w:r>
        <w:rPr>
          <w:rFonts w:hint="eastAsia"/>
          <w:lang w:val="en-US" w:eastAsia="zh-CN"/>
        </w:rPr>
        <w:t>根据施工安全设置对应的警示安全标牌。</w:t>
      </w:r>
    </w:p>
    <w:p w14:paraId="4AB53C78">
      <w:pPr>
        <w:pStyle w:val="66"/>
        <w:spacing w:before="120" w:after="120"/>
        <w:rPr>
          <w:rFonts w:hint="eastAsia"/>
          <w:lang w:val="en-US" w:eastAsia="zh-CN"/>
        </w:rPr>
      </w:pPr>
      <w:bookmarkStart w:id="69" w:name="OLE_LINK12"/>
      <w:r>
        <w:rPr>
          <w:rFonts w:hint="eastAsia"/>
          <w:lang w:val="en-US" w:eastAsia="zh-CN"/>
        </w:rPr>
        <w:t>人员标识管理</w:t>
      </w:r>
    </w:p>
    <w:p w14:paraId="1382EA21">
      <w:pPr>
        <w:pStyle w:val="165"/>
        <w:rPr>
          <w:rFonts w:hint="eastAsia"/>
          <w:color w:val="auto"/>
          <w:highlight w:val="none"/>
        </w:rPr>
      </w:pPr>
      <w:r>
        <w:rPr>
          <w:rFonts w:hint="eastAsia"/>
          <w:color w:val="auto"/>
        </w:rPr>
        <w:t>施工现场所有作业人员须佩戴统一制发的标识工作证（样式见附录D），工作证规格、材质</w:t>
      </w:r>
      <w:r>
        <w:rPr>
          <w:rFonts w:hint="eastAsia"/>
          <w:color w:val="auto"/>
          <w:highlight w:val="none"/>
        </w:rPr>
        <w:t>应符合《北京市建设工程施工现场管理办法》及实名制管理相关规定，内容应包含：工程名称、姓名、近期免冠照片、所属单位、岗位（如项目经理、电工、焊工、安全员等）及有效期限。</w:t>
      </w:r>
    </w:p>
    <w:p w14:paraId="690C4B15">
      <w:pPr>
        <w:pStyle w:val="165"/>
        <w:rPr>
          <w:rFonts w:hint="eastAsia"/>
          <w:color w:val="auto"/>
          <w:highlight w:val="none"/>
        </w:rPr>
      </w:pPr>
      <w:r>
        <w:rPr>
          <w:rFonts w:hint="eastAsia"/>
          <w:color w:val="auto"/>
          <w:highlight w:val="none"/>
        </w:rPr>
        <w:t>工作证应设置二维码或等效电子标识，便于实时查验人员身份、教育记录、职业资格、体检结果及考核状态等信息，由施工总承包单位负责动态更新。</w:t>
      </w:r>
    </w:p>
    <w:p w14:paraId="12904345">
      <w:pPr>
        <w:pStyle w:val="165"/>
        <w:rPr>
          <w:rFonts w:hint="eastAsia"/>
          <w:color w:val="auto"/>
        </w:rPr>
      </w:pPr>
      <w:r>
        <w:rPr>
          <w:rFonts w:hint="eastAsia"/>
          <w:color w:val="auto"/>
        </w:rPr>
        <w:t>工作证应具备坚固、防水性能，尺寸宜为8cm×3cm，正面朝外佩戴于上衣左胸醒目位置，便于核查。</w:t>
      </w:r>
    </w:p>
    <w:p w14:paraId="64C52DDB">
      <w:pPr>
        <w:pStyle w:val="165"/>
        <w:rPr>
          <w:rFonts w:hint="eastAsia"/>
          <w:color w:val="auto"/>
        </w:rPr>
      </w:pPr>
      <w:r>
        <w:rPr>
          <w:rFonts w:hint="eastAsia"/>
          <w:color w:val="auto"/>
        </w:rPr>
        <w:t>施工总承包单位应统一负责人员标识的制作、发放、信息维护与日常检查，建立管理台账，对标识的发放、回收、补办及有效性实行动态管理。工作证实行"一人一牌"制，严禁转借、涂改或伪造；遗失应立即向安全管理部门报备并申请补办，补办期间禁止进入施工区域。</w:t>
      </w:r>
    </w:p>
    <w:p w14:paraId="3BE77540">
      <w:pPr>
        <w:pStyle w:val="165"/>
        <w:rPr>
          <w:rFonts w:hint="eastAsia"/>
          <w:color w:val="auto"/>
        </w:rPr>
      </w:pPr>
      <w:r>
        <w:rPr>
          <w:rFonts w:hint="eastAsia"/>
          <w:color w:val="auto"/>
        </w:rPr>
        <w:t>现场管理人员应每日核查标识佩戴情况，禁止未佩戴有效标识、信息不符或安全状态不合格人员进入作业区域。作业人员须全程规范佩戴，离岗时随身携带并妥善保管。非施工人员临时进入现场，须经接待单位实名登记、发放临时标识或安排专人陪同，并严格遵守现场安全规定。</w:t>
      </w:r>
    </w:p>
    <w:p w14:paraId="17C2D403">
      <w:pPr>
        <w:pStyle w:val="165"/>
        <w:rPr>
          <w:rFonts w:hint="eastAsia"/>
          <w:color w:val="auto"/>
        </w:rPr>
      </w:pPr>
      <w:r>
        <w:rPr>
          <w:rFonts w:hint="eastAsia"/>
          <w:color w:val="auto"/>
        </w:rPr>
        <w:t>有限空间（含下井）作业时，应实行工作证集中管控：作业前交由现场监护人员或指定位置统一保管，作业结束后凭证取回；当日施工完毕，现场负责人须核验工作证，确认人员全部撤离。</w:t>
      </w:r>
    </w:p>
    <w:p w14:paraId="3AD01916">
      <w:pPr>
        <w:pStyle w:val="165"/>
        <w:rPr>
          <w:rFonts w:hint="eastAsia"/>
          <w:color w:val="auto"/>
        </w:rPr>
      </w:pPr>
      <w:r>
        <w:rPr>
          <w:rFonts w:hint="eastAsia"/>
          <w:color w:val="auto"/>
        </w:rPr>
        <w:t>施工现场专职安全员应佩戴红底黄字"安全员"袖标。</w:t>
      </w:r>
    </w:p>
    <w:bookmarkEnd w:id="69"/>
    <w:p w14:paraId="20C1CAE7">
      <w:pPr>
        <w:pStyle w:val="106"/>
        <w:spacing w:before="120" w:after="120"/>
        <w:rPr>
          <w:rFonts w:hint="eastAsia"/>
        </w:rPr>
      </w:pPr>
      <w:bookmarkStart w:id="70" w:name="_Toc14095"/>
      <w:r>
        <w:rPr>
          <w:rFonts w:hint="eastAsia"/>
        </w:rPr>
        <w:t>照明、警示管理</w:t>
      </w:r>
      <w:bookmarkEnd w:id="70"/>
    </w:p>
    <w:p w14:paraId="339EFA3F">
      <w:pPr>
        <w:pStyle w:val="166"/>
        <w:rPr>
          <w:rFonts w:hint="default"/>
          <w:lang w:val="en-US" w:eastAsia="zh-CN"/>
        </w:rPr>
      </w:pPr>
      <w:r>
        <w:rPr>
          <w:rFonts w:hint="default"/>
          <w:lang w:val="en-US" w:eastAsia="zh-CN"/>
        </w:rPr>
        <w:t>施工现场应提供充足、均匀的照明，确保夜间及光线不足区域的作业安全。一般场所照明电源电压宜为220V，并应设置照明专用开关箱。</w:t>
      </w:r>
    </w:p>
    <w:p w14:paraId="13946DC1">
      <w:pPr>
        <w:pStyle w:val="166"/>
        <w:rPr>
          <w:rFonts w:hint="default"/>
          <w:lang w:val="en-US" w:eastAsia="zh-CN"/>
        </w:rPr>
      </w:pPr>
      <w:r>
        <w:rPr>
          <w:rFonts w:hint="default"/>
          <w:lang w:val="en-US" w:eastAsia="zh-CN"/>
        </w:rPr>
        <w:t>下列特殊场所</w:t>
      </w:r>
      <w:r>
        <w:rPr>
          <w:rFonts w:hint="eastAsia"/>
          <w:lang w:val="en-US" w:eastAsia="zh-CN"/>
        </w:rPr>
        <w:t>应</w:t>
      </w:r>
      <w:r>
        <w:rPr>
          <w:rFonts w:hint="default"/>
          <w:lang w:val="en-US" w:eastAsia="zh-CN"/>
        </w:rPr>
        <w:t>使用安全特低电压（SELV）照明，其电源电压及灯具安装应符合下列规定：</w:t>
      </w:r>
    </w:p>
    <w:p w14:paraId="01FB1534">
      <w:pPr>
        <w:pStyle w:val="133"/>
        <w:rPr>
          <w:rFonts w:hint="eastAsia"/>
          <w:lang w:val="en-US" w:eastAsia="zh-CN"/>
        </w:rPr>
      </w:pPr>
      <w:r>
        <w:rPr>
          <w:rFonts w:hint="default"/>
          <w:lang w:val="en-US" w:eastAsia="zh-CN"/>
        </w:rPr>
        <w:t>在热力管沟、阀门井、检查井等潮湿、存在导电粉尘的有限空间内作业时，照明电压</w:t>
      </w:r>
      <w:r>
        <w:rPr>
          <w:rFonts w:hint="eastAsia"/>
          <w:lang w:val="en-US" w:eastAsia="zh-CN"/>
        </w:rPr>
        <w:t>不应</w:t>
      </w:r>
      <w:r>
        <w:rPr>
          <w:rFonts w:hint="default"/>
          <w:lang w:val="en-US" w:eastAsia="zh-CN"/>
        </w:rPr>
        <w:t>超过AC12V；</w:t>
      </w:r>
    </w:p>
    <w:p w14:paraId="13723271">
      <w:pPr>
        <w:pStyle w:val="133"/>
        <w:rPr>
          <w:rFonts w:hint="eastAsia"/>
          <w:lang w:val="en-US" w:eastAsia="zh-CN"/>
        </w:rPr>
      </w:pPr>
      <w:r>
        <w:rPr>
          <w:rFonts w:hint="default"/>
          <w:lang w:val="en-US" w:eastAsia="zh-CN"/>
        </w:rPr>
        <w:t>在地面操作坑、管沟边缘、设备基坑等灯具安装高度低于2.5米的场所，照明电压</w:t>
      </w:r>
      <w:r>
        <w:rPr>
          <w:rFonts w:hint="eastAsia"/>
          <w:lang w:val="en-US" w:eastAsia="zh-CN"/>
        </w:rPr>
        <w:t>不应</w:t>
      </w:r>
      <w:r>
        <w:rPr>
          <w:rFonts w:hint="default"/>
          <w:lang w:val="en-US" w:eastAsia="zh-CN"/>
        </w:rPr>
        <w:t>超过</w:t>
      </w:r>
      <w:r>
        <w:rPr>
          <w:rFonts w:hint="eastAsia"/>
          <w:lang w:val="en-US" w:eastAsia="zh-CN"/>
        </w:rPr>
        <w:t>AC</w:t>
      </w:r>
      <w:r>
        <w:rPr>
          <w:rFonts w:hint="default"/>
          <w:lang w:val="en-US" w:eastAsia="zh-CN"/>
        </w:rPr>
        <w:t>36V；</w:t>
      </w:r>
    </w:p>
    <w:p w14:paraId="74A719CA">
      <w:pPr>
        <w:pStyle w:val="133"/>
        <w:rPr>
          <w:rFonts w:hint="eastAsia"/>
          <w:lang w:val="en-US" w:eastAsia="zh-CN"/>
        </w:rPr>
      </w:pPr>
      <w:r>
        <w:rPr>
          <w:rFonts w:hint="default"/>
          <w:lang w:val="en-US" w:eastAsia="zh-CN"/>
        </w:rPr>
        <w:t>在已安装设备的锅炉房、换热站室内等场所，固定式照明灯具安装高度不足2.5米时，宜采用不超过</w:t>
      </w:r>
      <w:r>
        <w:rPr>
          <w:rFonts w:hint="eastAsia"/>
          <w:lang w:val="en-US" w:eastAsia="zh-CN"/>
        </w:rPr>
        <w:t>AC</w:t>
      </w:r>
      <w:r>
        <w:rPr>
          <w:rFonts w:hint="default"/>
          <w:lang w:val="en-US" w:eastAsia="zh-CN"/>
        </w:rPr>
        <w:t>36V的电压；手持式行灯电压</w:t>
      </w:r>
      <w:r>
        <w:rPr>
          <w:rFonts w:hint="eastAsia"/>
          <w:lang w:val="en-US" w:eastAsia="zh-CN"/>
        </w:rPr>
        <w:t>不应</w:t>
      </w:r>
      <w:r>
        <w:rPr>
          <w:rFonts w:hint="default"/>
          <w:lang w:val="en-US" w:eastAsia="zh-CN"/>
        </w:rPr>
        <w:t>超过</w:t>
      </w:r>
      <w:r>
        <w:rPr>
          <w:rFonts w:hint="eastAsia"/>
          <w:lang w:val="en-US" w:eastAsia="zh-CN"/>
        </w:rPr>
        <w:t>AC</w:t>
      </w:r>
      <w:r>
        <w:rPr>
          <w:rFonts w:hint="default"/>
          <w:lang w:val="en-US" w:eastAsia="zh-CN"/>
        </w:rPr>
        <w:t>12V。</w:t>
      </w:r>
    </w:p>
    <w:p w14:paraId="342AFC1F">
      <w:pPr>
        <w:pStyle w:val="166"/>
        <w:rPr>
          <w:rFonts w:hint="default"/>
          <w:lang w:val="en-US" w:eastAsia="zh-CN"/>
        </w:rPr>
      </w:pPr>
      <w:r>
        <w:rPr>
          <w:rFonts w:hint="default"/>
          <w:lang w:val="en-US" w:eastAsia="zh-CN"/>
        </w:rPr>
        <w:t>照明灯具的金属外壳</w:t>
      </w:r>
      <w:r>
        <w:rPr>
          <w:rFonts w:hint="eastAsia"/>
          <w:lang w:val="en-US" w:eastAsia="zh-CN"/>
        </w:rPr>
        <w:t>应</w:t>
      </w:r>
      <w:r>
        <w:rPr>
          <w:rFonts w:hint="default"/>
          <w:lang w:val="en-US" w:eastAsia="zh-CN"/>
        </w:rPr>
        <w:t>与保护接地导体（PE）</w:t>
      </w:r>
      <w:r>
        <w:rPr>
          <w:rFonts w:hint="eastAsia"/>
          <w:lang w:val="en-US" w:eastAsia="zh-CN"/>
        </w:rPr>
        <w:t>电气连接</w:t>
      </w:r>
      <w:r>
        <w:rPr>
          <w:rFonts w:hint="default"/>
          <w:lang w:val="en-US" w:eastAsia="zh-CN"/>
        </w:rPr>
        <w:t>。照明配电箱内应装设隔离开关、短路与过载保护电器以及剩余电流动作保护器（RCD）。</w:t>
      </w:r>
    </w:p>
    <w:p w14:paraId="45CEBF8A">
      <w:pPr>
        <w:pStyle w:val="166"/>
        <w:rPr>
          <w:rFonts w:hint="default"/>
          <w:lang w:val="en-US" w:eastAsia="zh-CN"/>
        </w:rPr>
      </w:pPr>
      <w:r>
        <w:rPr>
          <w:rFonts w:hint="default"/>
          <w:lang w:val="en-US" w:eastAsia="zh-CN"/>
        </w:rPr>
        <w:t>夜间、雾天、雨雪天等能见度不良条件下施工，或日间施工但对公共交通安全存在影响的区域，</w:t>
      </w:r>
      <w:r>
        <w:rPr>
          <w:rFonts w:hint="eastAsia"/>
          <w:lang w:val="en-US" w:eastAsia="zh-CN"/>
        </w:rPr>
        <w:t>应</w:t>
      </w:r>
      <w:r>
        <w:rPr>
          <w:rFonts w:hint="default"/>
          <w:lang w:val="en-US" w:eastAsia="zh-CN"/>
        </w:rPr>
        <w:t>设置醒目的警示灯。</w:t>
      </w:r>
    </w:p>
    <w:p w14:paraId="6AFBCA5C">
      <w:pPr>
        <w:pStyle w:val="166"/>
        <w:rPr>
          <w:rFonts w:hint="default"/>
          <w:lang w:val="en-US" w:eastAsia="zh-CN"/>
        </w:rPr>
      </w:pPr>
      <w:r>
        <w:rPr>
          <w:rFonts w:hint="default"/>
          <w:lang w:val="en-US" w:eastAsia="zh-CN"/>
        </w:rPr>
        <w:t>警示灯应设置在以下关键位置，并确保其连续、有效工作：</w:t>
      </w:r>
    </w:p>
    <w:p w14:paraId="2EB68258">
      <w:pPr>
        <w:pStyle w:val="133"/>
        <w:rPr>
          <w:rFonts w:hint="default"/>
          <w:lang w:val="en-US" w:eastAsia="zh-CN"/>
        </w:rPr>
      </w:pPr>
      <w:r>
        <w:rPr>
          <w:rFonts w:hint="default"/>
          <w:lang w:val="en-US" w:eastAsia="zh-CN"/>
        </w:rPr>
        <w:t>施工围挡顶部，沿围挡长度方向每间隔不宜超过10米设置一个，在所有转角、路口及开口处</w:t>
      </w:r>
      <w:r>
        <w:rPr>
          <w:rFonts w:hint="eastAsia"/>
          <w:lang w:val="en-US" w:eastAsia="zh-CN"/>
        </w:rPr>
        <w:t>应</w:t>
      </w:r>
      <w:r>
        <w:rPr>
          <w:rFonts w:hint="default"/>
          <w:lang w:val="en-US" w:eastAsia="zh-CN"/>
        </w:rPr>
        <w:t>设置；</w:t>
      </w:r>
    </w:p>
    <w:p w14:paraId="7301D46D">
      <w:pPr>
        <w:pStyle w:val="133"/>
        <w:rPr>
          <w:rFonts w:hint="default"/>
          <w:lang w:val="en-US" w:eastAsia="zh-CN"/>
        </w:rPr>
      </w:pPr>
      <w:r>
        <w:rPr>
          <w:rFonts w:hint="default"/>
          <w:lang w:val="en-US" w:eastAsia="zh-CN"/>
        </w:rPr>
        <w:t>基坑、管沟、工作坑等所有临边连续设置；</w:t>
      </w:r>
    </w:p>
    <w:p w14:paraId="58C139BF">
      <w:pPr>
        <w:pStyle w:val="133"/>
        <w:rPr>
          <w:rFonts w:hint="default"/>
          <w:lang w:val="en-US" w:eastAsia="zh-CN"/>
        </w:rPr>
      </w:pPr>
      <w:r>
        <w:rPr>
          <w:rFonts w:hint="default"/>
          <w:lang w:val="en-US" w:eastAsia="zh-CN"/>
        </w:rPr>
        <w:t>交通导行路线的起点、过渡区、缓冲区及所有导行墩、防撞桶顶部；</w:t>
      </w:r>
    </w:p>
    <w:p w14:paraId="587DD373">
      <w:pPr>
        <w:pStyle w:val="133"/>
        <w:rPr>
          <w:rFonts w:hint="default"/>
          <w:lang w:val="en-US" w:eastAsia="zh-CN"/>
        </w:rPr>
      </w:pPr>
      <w:r>
        <w:rPr>
          <w:rFonts w:hint="default"/>
          <w:lang w:val="en-US" w:eastAsia="zh-CN"/>
        </w:rPr>
        <w:t>塔式起重机、汽车吊、挖掘机等大型移动设备的最高点或轮廓突出部位；</w:t>
      </w:r>
    </w:p>
    <w:p w14:paraId="42A98C23">
      <w:pPr>
        <w:pStyle w:val="133"/>
        <w:rPr>
          <w:rFonts w:hint="default"/>
          <w:lang w:val="en-US" w:eastAsia="zh-CN"/>
        </w:rPr>
      </w:pPr>
      <w:r>
        <w:rPr>
          <w:rFonts w:hint="default"/>
          <w:lang w:val="en-US" w:eastAsia="zh-CN"/>
        </w:rPr>
        <w:t>施工材料、车辆及人员进出的临时通道口；</w:t>
      </w:r>
    </w:p>
    <w:p w14:paraId="4EE02CFC">
      <w:pPr>
        <w:pStyle w:val="133"/>
        <w:rPr>
          <w:rFonts w:hint="default"/>
          <w:lang w:val="en-US" w:eastAsia="zh-CN"/>
        </w:rPr>
      </w:pPr>
      <w:r>
        <w:rPr>
          <w:rFonts w:hint="default"/>
          <w:lang w:val="en-US" w:eastAsia="zh-CN"/>
        </w:rPr>
        <w:t>正在作业的检查井、管沟</w:t>
      </w:r>
      <w:r>
        <w:rPr>
          <w:rFonts w:hint="eastAsia"/>
          <w:lang w:val="en-US" w:eastAsia="zh-CN"/>
        </w:rPr>
        <w:t>等</w:t>
      </w:r>
      <w:r>
        <w:rPr>
          <w:rFonts w:hint="default"/>
          <w:lang w:val="en-US" w:eastAsia="zh-CN"/>
        </w:rPr>
        <w:t>有限空间出入口处。</w:t>
      </w:r>
    </w:p>
    <w:p w14:paraId="08BE978D">
      <w:pPr>
        <w:pStyle w:val="166"/>
        <w:rPr>
          <w:rFonts w:hint="default"/>
          <w:lang w:val="en-US" w:eastAsia="zh-CN"/>
        </w:rPr>
      </w:pPr>
      <w:r>
        <w:rPr>
          <w:rFonts w:hint="default"/>
          <w:lang w:val="en-US" w:eastAsia="zh-CN"/>
        </w:rPr>
        <w:t>警示灯宜采用LED等节能型光源，光线应为红色或黄色，具备闪烁或常亮功能。供电线路应有防雨、防机械损伤措施</w:t>
      </w:r>
      <w:r>
        <w:rPr>
          <w:rFonts w:hint="eastAsia"/>
          <w:lang w:val="en-US" w:eastAsia="zh-CN"/>
        </w:rPr>
        <w:t>。</w:t>
      </w:r>
    </w:p>
    <w:p w14:paraId="3598D9CA">
      <w:pPr>
        <w:pStyle w:val="106"/>
        <w:spacing w:before="120" w:after="120"/>
        <w:rPr>
          <w:rFonts w:hint="eastAsia"/>
        </w:rPr>
      </w:pPr>
      <w:bookmarkStart w:id="71" w:name="_Toc22023"/>
      <w:r>
        <w:rPr>
          <w:rFonts w:hint="eastAsia"/>
        </w:rPr>
        <w:t>现场防护管理</w:t>
      </w:r>
      <w:bookmarkEnd w:id="71"/>
    </w:p>
    <w:p w14:paraId="083957F3">
      <w:pPr>
        <w:pStyle w:val="66"/>
        <w:spacing w:before="120" w:after="120"/>
        <w:rPr>
          <w:rFonts w:hint="eastAsia"/>
          <w:highlight w:val="none"/>
          <w:lang w:val="en-US" w:eastAsia="zh-CN"/>
        </w:rPr>
      </w:pPr>
      <w:r>
        <w:rPr>
          <w:rFonts w:hint="eastAsia"/>
          <w:highlight w:val="none"/>
          <w:lang w:val="en-US" w:eastAsia="zh-CN"/>
        </w:rPr>
        <w:t>人员防护</w:t>
      </w:r>
    </w:p>
    <w:p w14:paraId="51505D67">
      <w:pPr>
        <w:pStyle w:val="165"/>
        <w:rPr>
          <w:rFonts w:hint="default"/>
          <w:highlight w:val="none"/>
          <w:lang w:val="en-US" w:eastAsia="zh-CN"/>
        </w:rPr>
      </w:pPr>
      <w:r>
        <w:rPr>
          <w:rFonts w:hint="default"/>
          <w:lang w:val="en-US" w:eastAsia="zh-CN"/>
        </w:rPr>
        <w:t>进入施工现场的所有人员</w:t>
      </w:r>
      <w:r>
        <w:rPr>
          <w:rFonts w:hint="eastAsia"/>
          <w:lang w:val="en-US" w:eastAsia="zh-CN"/>
        </w:rPr>
        <w:t>应</w:t>
      </w:r>
      <w:r>
        <w:rPr>
          <w:rFonts w:hint="default"/>
          <w:lang w:val="en-US" w:eastAsia="zh-CN"/>
        </w:rPr>
        <w:t>正确辨识并严格遵守个人防护装备（PPE）的使用要求，着装规范、整洁</w:t>
      </w:r>
      <w:r>
        <w:rPr>
          <w:rFonts w:hint="eastAsia"/>
          <w:lang w:val="en-US" w:eastAsia="zh-CN"/>
        </w:rPr>
        <w:t>、</w:t>
      </w:r>
      <w:r>
        <w:rPr>
          <w:rFonts w:hint="default"/>
          <w:lang w:val="en-US" w:eastAsia="zh-CN"/>
        </w:rPr>
        <w:t>符合安全规定</w:t>
      </w:r>
      <w:r>
        <w:rPr>
          <w:rFonts w:hint="eastAsia"/>
          <w:highlight w:val="none"/>
          <w:lang w:val="en-US" w:eastAsia="zh-CN"/>
        </w:rPr>
        <w:t>，并应根据特种作业类型配置专业的防护装备，特种作业人员装备配置参考表2。</w:t>
      </w:r>
    </w:p>
    <w:p w14:paraId="461BA8A2">
      <w:pPr>
        <w:pStyle w:val="165"/>
        <w:rPr>
          <w:rFonts w:hint="default"/>
          <w:highlight w:val="none"/>
          <w:lang w:val="en-US" w:eastAsia="zh-CN"/>
        </w:rPr>
      </w:pPr>
      <w:r>
        <w:rPr>
          <w:rFonts w:hint="default"/>
          <w:highlight w:val="none"/>
          <w:lang w:val="en-US" w:eastAsia="zh-CN"/>
        </w:rPr>
        <w:t>安全帽</w:t>
      </w:r>
      <w:r>
        <w:rPr>
          <w:rFonts w:hint="eastAsia"/>
          <w:highlight w:val="none"/>
          <w:lang w:val="en-US" w:eastAsia="zh-CN"/>
        </w:rPr>
        <w:t>应</w:t>
      </w:r>
      <w:r>
        <w:rPr>
          <w:rFonts w:hint="default"/>
          <w:highlight w:val="none"/>
          <w:lang w:val="en-US" w:eastAsia="zh-CN"/>
        </w:rPr>
        <w:t>符合GB 2811的要求，并应满足以下规定：</w:t>
      </w:r>
    </w:p>
    <w:p w14:paraId="038EB4F9">
      <w:pPr>
        <w:pStyle w:val="133"/>
        <w:rPr>
          <w:rFonts w:hint="default"/>
          <w:highlight w:val="none"/>
          <w:lang w:val="en-US" w:eastAsia="zh-CN"/>
        </w:rPr>
      </w:pPr>
      <w:r>
        <w:rPr>
          <w:rFonts w:hint="eastAsia"/>
          <w:highlight w:val="none"/>
          <w:lang w:val="en-US" w:eastAsia="zh-CN"/>
        </w:rPr>
        <w:t>应依据作业场所的风险特点，优先选用具备相应特殊性能，如电绝缘、耐高温、防静电等的特殊型安全帽，其标识应清晰、符合标准要求；</w:t>
      </w:r>
    </w:p>
    <w:p w14:paraId="5AD29F61">
      <w:pPr>
        <w:pStyle w:val="133"/>
        <w:rPr>
          <w:rFonts w:hint="default"/>
          <w:lang w:val="en-US" w:eastAsia="zh-CN"/>
        </w:rPr>
      </w:pPr>
      <w:r>
        <w:rPr>
          <w:rFonts w:hint="default"/>
          <w:lang w:val="en-US" w:eastAsia="zh-CN"/>
        </w:rPr>
        <w:t>使用前应检查帽壳、帽衬、下颏带等部件齐全、完好，并在有效期内；</w:t>
      </w:r>
    </w:p>
    <w:p w14:paraId="6FD295E8">
      <w:pPr>
        <w:pStyle w:val="133"/>
        <w:rPr>
          <w:rFonts w:hint="default"/>
          <w:lang w:val="en-US" w:eastAsia="zh-CN"/>
        </w:rPr>
      </w:pPr>
      <w:r>
        <w:rPr>
          <w:rFonts w:hint="eastAsia"/>
          <w:lang w:val="en-US" w:eastAsia="zh-CN"/>
        </w:rPr>
        <w:t>不应</w:t>
      </w:r>
      <w:r>
        <w:rPr>
          <w:rFonts w:hint="default"/>
          <w:lang w:val="en-US" w:eastAsia="zh-CN"/>
        </w:rPr>
        <w:t>坐压安全帽，或将其挪作他用；</w:t>
      </w:r>
    </w:p>
    <w:p w14:paraId="555FA07F">
      <w:pPr>
        <w:pStyle w:val="133"/>
        <w:rPr>
          <w:rFonts w:hint="default"/>
          <w:lang w:val="en-US" w:eastAsia="zh-CN"/>
        </w:rPr>
      </w:pPr>
      <w:r>
        <w:rPr>
          <w:rFonts w:hint="default"/>
          <w:lang w:val="en-US" w:eastAsia="zh-CN"/>
        </w:rPr>
        <w:t>为便于现场识别，</w:t>
      </w:r>
      <w:r>
        <w:rPr>
          <w:rFonts w:hint="eastAsia"/>
          <w:lang w:val="en-US" w:eastAsia="zh-CN"/>
        </w:rPr>
        <w:t>可参考</w:t>
      </w:r>
      <w:r>
        <w:rPr>
          <w:rFonts w:hint="default"/>
          <w:lang w:val="en-US" w:eastAsia="zh-CN"/>
        </w:rPr>
        <w:t>以下方式区分：蓝色—机械工、电工、技术工人及特种作业人员；黄色—普通施工人员。</w:t>
      </w:r>
    </w:p>
    <w:p w14:paraId="1184F28B">
      <w:pPr>
        <w:pStyle w:val="165"/>
        <w:rPr>
          <w:rFonts w:hint="default"/>
          <w:lang w:val="en-US" w:eastAsia="zh-CN"/>
        </w:rPr>
      </w:pPr>
      <w:r>
        <w:rPr>
          <w:rFonts w:hint="default"/>
          <w:lang w:val="en-US" w:eastAsia="zh-CN"/>
        </w:rPr>
        <w:t>工作服应符合以下规定：</w:t>
      </w:r>
    </w:p>
    <w:p w14:paraId="2A5D5FB1">
      <w:pPr>
        <w:pStyle w:val="133"/>
        <w:rPr>
          <w:rFonts w:hint="default"/>
          <w:lang w:val="en-US" w:eastAsia="zh-CN"/>
        </w:rPr>
      </w:pPr>
      <w:r>
        <w:rPr>
          <w:rFonts w:hint="default"/>
          <w:lang w:val="en-US" w:eastAsia="zh-CN"/>
        </w:rPr>
        <w:t>作业人员应统一穿着本单位配发的标准工作服，保持整洁完好；</w:t>
      </w:r>
    </w:p>
    <w:p w14:paraId="28C495F7">
      <w:pPr>
        <w:pStyle w:val="133"/>
        <w:rPr>
          <w:rFonts w:hint="eastAsia"/>
          <w:lang w:val="en-US" w:eastAsia="zh-CN"/>
        </w:rPr>
      </w:pPr>
      <w:r>
        <w:rPr>
          <w:rFonts w:hint="default"/>
          <w:lang w:val="en-US" w:eastAsia="zh-CN"/>
        </w:rPr>
        <w:t>工作服应具备防静电、阻燃等基本防护性能，</w:t>
      </w:r>
      <w:r>
        <w:rPr>
          <w:rFonts w:hint="eastAsia"/>
          <w:lang w:val="en-US" w:eastAsia="zh-CN"/>
        </w:rPr>
        <w:t>不应</w:t>
      </w:r>
      <w:r>
        <w:rPr>
          <w:rFonts w:hint="default"/>
          <w:lang w:val="en-US" w:eastAsia="zh-CN"/>
        </w:rPr>
        <w:t>穿着化纤类便服；</w:t>
      </w:r>
      <w:r>
        <w:rPr>
          <w:rFonts w:hint="eastAsia"/>
          <w:lang w:val="en-US" w:eastAsia="zh-CN"/>
        </w:rPr>
        <w:t>进行特殊作业时，应在外加穿相应防护装备，并定期清洗更换。</w:t>
      </w:r>
    </w:p>
    <w:p w14:paraId="5AED8008">
      <w:pPr>
        <w:pStyle w:val="133"/>
        <w:rPr>
          <w:rFonts w:hint="default"/>
          <w:lang w:val="en-US" w:eastAsia="zh-CN"/>
        </w:rPr>
      </w:pPr>
      <w:r>
        <w:rPr>
          <w:rFonts w:hint="default"/>
          <w:lang w:val="en-US" w:eastAsia="zh-CN"/>
        </w:rPr>
        <w:t>作业时应扣好衣扣、束紧袖口，防止被机械设备缠绕；</w:t>
      </w:r>
    </w:p>
    <w:p w14:paraId="66D8AE87">
      <w:pPr>
        <w:pStyle w:val="133"/>
        <w:rPr>
          <w:rFonts w:hint="default"/>
          <w:lang w:val="en-US" w:eastAsia="zh-CN"/>
        </w:rPr>
      </w:pPr>
      <w:r>
        <w:rPr>
          <w:rFonts w:hint="default"/>
          <w:lang w:val="en-US" w:eastAsia="zh-CN"/>
        </w:rPr>
        <w:t>夜间进行户外作业的人员</w:t>
      </w:r>
      <w:r>
        <w:rPr>
          <w:rFonts w:hint="eastAsia"/>
          <w:lang w:val="en-US" w:eastAsia="zh-CN"/>
        </w:rPr>
        <w:t>应</w:t>
      </w:r>
      <w:r>
        <w:rPr>
          <w:rFonts w:hint="default"/>
          <w:lang w:val="en-US" w:eastAsia="zh-CN"/>
        </w:rPr>
        <w:t xml:space="preserve">穿反光背心。 </w:t>
      </w:r>
    </w:p>
    <w:p w14:paraId="2C8E5DAC">
      <w:pPr>
        <w:pStyle w:val="165"/>
        <w:rPr>
          <w:rFonts w:hint="default"/>
          <w:lang w:val="en-US" w:eastAsia="zh-CN"/>
        </w:rPr>
      </w:pPr>
      <w:r>
        <w:rPr>
          <w:rFonts w:hint="default"/>
          <w:lang w:val="en-US" w:eastAsia="zh-CN"/>
        </w:rPr>
        <w:t>安全带</w:t>
      </w:r>
      <w:r>
        <w:rPr>
          <w:rFonts w:hint="eastAsia"/>
          <w:lang w:val="en-US" w:eastAsia="zh-CN"/>
        </w:rPr>
        <w:t>应</w:t>
      </w:r>
      <w:r>
        <w:rPr>
          <w:rFonts w:hint="default"/>
          <w:lang w:val="en-US" w:eastAsia="zh-CN"/>
        </w:rPr>
        <w:t>符合GB 6095的要求，并应满足以下规定：</w:t>
      </w:r>
    </w:p>
    <w:p w14:paraId="3E6E76C0">
      <w:pPr>
        <w:pStyle w:val="133"/>
        <w:rPr>
          <w:rFonts w:hint="default"/>
          <w:highlight w:val="none"/>
          <w:lang w:val="en-US" w:eastAsia="zh-CN"/>
        </w:rPr>
      </w:pPr>
      <w:r>
        <w:rPr>
          <w:rFonts w:hint="default"/>
          <w:highlight w:val="none"/>
          <w:lang w:val="en-US" w:eastAsia="zh-CN"/>
        </w:rPr>
        <w:t>在距坠落基准面2米及以上进行高处作业时，</w:t>
      </w:r>
      <w:r>
        <w:rPr>
          <w:rFonts w:hint="eastAsia"/>
          <w:highlight w:val="none"/>
          <w:lang w:val="en-US" w:eastAsia="zh-CN"/>
        </w:rPr>
        <w:t>应</w:t>
      </w:r>
      <w:r>
        <w:rPr>
          <w:rFonts w:hint="default"/>
          <w:highlight w:val="none"/>
          <w:lang w:val="en-US" w:eastAsia="zh-CN"/>
        </w:rPr>
        <w:t>系挂安全带</w:t>
      </w:r>
      <w:r>
        <w:rPr>
          <w:rFonts w:hint="eastAsia"/>
          <w:highlight w:val="none"/>
          <w:lang w:val="en-US" w:eastAsia="zh-CN"/>
        </w:rPr>
        <w:t>，应选用五点式安全带</w:t>
      </w:r>
      <w:r>
        <w:rPr>
          <w:rFonts w:hint="default"/>
          <w:highlight w:val="none"/>
          <w:lang w:val="en-US" w:eastAsia="zh-CN"/>
        </w:rPr>
        <w:t>；</w:t>
      </w:r>
    </w:p>
    <w:p w14:paraId="6CF6ED8D">
      <w:pPr>
        <w:pStyle w:val="133"/>
        <w:rPr>
          <w:rFonts w:hint="default"/>
          <w:highlight w:val="none"/>
          <w:lang w:val="en-US" w:eastAsia="zh-CN"/>
        </w:rPr>
      </w:pPr>
      <w:r>
        <w:rPr>
          <w:rFonts w:hint="default"/>
          <w:highlight w:val="none"/>
          <w:lang w:val="en-US" w:eastAsia="zh-CN"/>
        </w:rPr>
        <w:t>作业人员使用坠落悬挂用安全带时,应优先使用位于其上方的挂点。不应将安全带挂在移动、低强度、不牢固或带尖锐棱角的构件或物体上。作业人员在使用前应确认挂点装置外观完好,无毛刺、变形、断裂、锈蚀、锋利边缘；</w:t>
      </w:r>
    </w:p>
    <w:p w14:paraId="48ED3ACF">
      <w:pPr>
        <w:pStyle w:val="133"/>
        <w:rPr>
          <w:rFonts w:hint="default"/>
          <w:highlight w:val="none"/>
          <w:lang w:val="en-US" w:eastAsia="zh-CN"/>
        </w:rPr>
      </w:pPr>
      <w:r>
        <w:rPr>
          <w:rFonts w:hint="default"/>
          <w:highlight w:val="none"/>
          <w:lang w:val="en-US" w:eastAsia="zh-CN"/>
        </w:rPr>
        <w:t>使用前</w:t>
      </w:r>
      <w:r>
        <w:rPr>
          <w:rFonts w:hint="eastAsia"/>
          <w:highlight w:val="none"/>
          <w:lang w:val="en-US" w:eastAsia="zh-CN"/>
        </w:rPr>
        <w:t>应</w:t>
      </w:r>
      <w:r>
        <w:rPr>
          <w:rFonts w:hint="default"/>
          <w:highlight w:val="none"/>
          <w:lang w:val="en-US" w:eastAsia="zh-CN"/>
        </w:rPr>
        <w:t>检查安全带各部件是否完好，禁止使用有磨损、断股、霉变等缺陷的安全带；</w:t>
      </w:r>
    </w:p>
    <w:p w14:paraId="3297D440">
      <w:pPr>
        <w:pStyle w:val="133"/>
        <w:rPr>
          <w:rFonts w:hint="default"/>
          <w:highlight w:val="none"/>
          <w:lang w:val="en-US" w:eastAsia="zh-CN"/>
        </w:rPr>
      </w:pPr>
      <w:r>
        <w:rPr>
          <w:rFonts w:hint="default"/>
          <w:highlight w:val="none"/>
          <w:lang w:val="en-US" w:eastAsia="zh-CN"/>
        </w:rPr>
        <w:t>安全带应专人专用，</w:t>
      </w:r>
      <w:r>
        <w:rPr>
          <w:rFonts w:hint="eastAsia"/>
          <w:highlight w:val="none"/>
          <w:lang w:val="en-US" w:eastAsia="zh-CN"/>
        </w:rPr>
        <w:t>不应</w:t>
      </w:r>
      <w:r>
        <w:rPr>
          <w:rFonts w:hint="default"/>
          <w:highlight w:val="none"/>
          <w:lang w:val="en-US" w:eastAsia="zh-CN"/>
        </w:rPr>
        <w:t>私自拆卸、更换部件。</w:t>
      </w:r>
    </w:p>
    <w:p w14:paraId="30D757F8">
      <w:pPr>
        <w:pStyle w:val="165"/>
        <w:rPr>
          <w:rFonts w:hint="default"/>
          <w:lang w:val="en-US" w:eastAsia="zh-CN"/>
        </w:rPr>
      </w:pPr>
      <w:r>
        <w:rPr>
          <w:rFonts w:hint="default"/>
          <w:lang w:val="en-US" w:eastAsia="zh-CN"/>
        </w:rPr>
        <w:t>安全网的设置</w:t>
      </w:r>
      <w:r>
        <w:rPr>
          <w:rFonts w:hint="eastAsia"/>
          <w:lang w:val="en-US" w:eastAsia="zh-CN"/>
        </w:rPr>
        <w:t>应</w:t>
      </w:r>
      <w:r>
        <w:rPr>
          <w:rFonts w:hint="default"/>
          <w:lang w:val="en-US" w:eastAsia="zh-CN"/>
        </w:rPr>
        <w:t>符合GB 5725的要求，并应满足以下规定：</w:t>
      </w:r>
    </w:p>
    <w:p w14:paraId="1D86FF69">
      <w:pPr>
        <w:pStyle w:val="133"/>
        <w:rPr>
          <w:rFonts w:hint="default"/>
          <w:lang w:val="en-US" w:eastAsia="zh-CN"/>
        </w:rPr>
      </w:pPr>
      <w:r>
        <w:rPr>
          <w:rFonts w:hint="default"/>
          <w:lang w:val="en-US" w:eastAsia="zh-CN"/>
        </w:rPr>
        <w:t>在管沟沟口、开启的检查井与阀门井井口、架空管道施工等易发生坠落的区域</w:t>
      </w:r>
      <w:r>
        <w:rPr>
          <w:rFonts w:hint="eastAsia"/>
          <w:lang w:val="en-US" w:eastAsia="zh-CN"/>
        </w:rPr>
        <w:t>应</w:t>
      </w:r>
      <w:r>
        <w:rPr>
          <w:rFonts w:hint="default"/>
          <w:lang w:val="en-US" w:eastAsia="zh-CN"/>
        </w:rPr>
        <w:t>设置安全网；</w:t>
      </w:r>
    </w:p>
    <w:p w14:paraId="2025FA13">
      <w:pPr>
        <w:pStyle w:val="133"/>
        <w:rPr>
          <w:rFonts w:hint="default"/>
          <w:lang w:val="en-US" w:eastAsia="zh-CN"/>
        </w:rPr>
      </w:pPr>
      <w:r>
        <w:rPr>
          <w:rFonts w:hint="default"/>
          <w:lang w:val="en-US" w:eastAsia="zh-CN"/>
        </w:rPr>
        <w:t>安全网</w:t>
      </w:r>
      <w:r>
        <w:rPr>
          <w:rFonts w:hint="eastAsia"/>
          <w:lang w:val="en-US" w:eastAsia="zh-CN"/>
        </w:rPr>
        <w:t>应</w:t>
      </w:r>
      <w:r>
        <w:rPr>
          <w:rFonts w:hint="default"/>
          <w:lang w:val="en-US" w:eastAsia="zh-CN"/>
        </w:rPr>
        <w:t>安装牢固，网体完整、连接可靠，安装后应由专人验收合格；</w:t>
      </w:r>
    </w:p>
    <w:p w14:paraId="17CFE6ED">
      <w:pPr>
        <w:pStyle w:val="133"/>
        <w:rPr>
          <w:rFonts w:hint="default"/>
          <w:lang w:val="en-US" w:eastAsia="zh-CN"/>
        </w:rPr>
      </w:pPr>
      <w:r>
        <w:rPr>
          <w:rFonts w:hint="eastAsia"/>
          <w:lang w:val="en-US" w:eastAsia="zh-CN"/>
        </w:rPr>
        <w:t>应</w:t>
      </w:r>
      <w:r>
        <w:rPr>
          <w:rFonts w:hint="default"/>
          <w:lang w:val="en-US" w:eastAsia="zh-CN"/>
        </w:rPr>
        <w:t>建立每周定期检查制度，大风、暴雨等恶劣天气后应立即进行专项检查，发现网绳断裂、连接松动应立即维修或更换。</w:t>
      </w:r>
    </w:p>
    <w:p w14:paraId="3BED6C3A">
      <w:pPr>
        <w:pStyle w:val="165"/>
        <w:rPr>
          <w:rFonts w:hint="default"/>
          <w:lang w:val="en-US" w:eastAsia="zh-CN"/>
        </w:rPr>
      </w:pPr>
      <w:r>
        <w:rPr>
          <w:rFonts w:hint="default"/>
          <w:lang w:val="en-US" w:eastAsia="zh-CN"/>
        </w:rPr>
        <w:t>特种作业防护装备的配备与使用应符合以下规定：</w:t>
      </w:r>
    </w:p>
    <w:p w14:paraId="4AB9D439">
      <w:pPr>
        <w:pStyle w:val="133"/>
        <w:rPr>
          <w:rFonts w:hint="default"/>
          <w:lang w:val="en-US" w:eastAsia="zh-CN"/>
        </w:rPr>
      </w:pPr>
      <w:r>
        <w:rPr>
          <w:rFonts w:hint="default"/>
          <w:lang w:val="en-US" w:eastAsia="zh-CN"/>
        </w:rPr>
        <w:t>进入高温区域或接触高温表面时，</w:t>
      </w:r>
      <w:r>
        <w:rPr>
          <w:rFonts w:hint="eastAsia"/>
          <w:lang w:val="en-US" w:eastAsia="zh-CN"/>
        </w:rPr>
        <w:t>应</w:t>
      </w:r>
      <w:r>
        <w:rPr>
          <w:rFonts w:hint="default"/>
          <w:lang w:val="en-US" w:eastAsia="zh-CN"/>
        </w:rPr>
        <w:t>穿戴符合GB 8965.1</w:t>
      </w:r>
      <w:r>
        <w:rPr>
          <w:rFonts w:hint="eastAsia"/>
          <w:lang w:val="en-US" w:eastAsia="zh-CN"/>
        </w:rPr>
        <w:t>要求</w:t>
      </w:r>
      <w:r>
        <w:rPr>
          <w:rFonts w:hint="default"/>
          <w:lang w:val="en-US" w:eastAsia="zh-CN"/>
        </w:rPr>
        <w:t>的防烫服、符合GB 21148</w:t>
      </w:r>
      <w:r>
        <w:rPr>
          <w:rFonts w:hint="eastAsia"/>
          <w:lang w:val="en-US" w:eastAsia="zh-CN"/>
        </w:rPr>
        <w:t>要求</w:t>
      </w:r>
      <w:r>
        <w:rPr>
          <w:rFonts w:hint="default"/>
          <w:lang w:val="en-US" w:eastAsia="zh-CN"/>
        </w:rPr>
        <w:t>的隔热靴、符合GB/T 38306</w:t>
      </w:r>
      <w:r>
        <w:rPr>
          <w:rFonts w:hint="eastAsia"/>
          <w:lang w:val="en-US" w:eastAsia="zh-CN"/>
        </w:rPr>
        <w:t>要求</w:t>
      </w:r>
      <w:r>
        <w:rPr>
          <w:rFonts w:hint="default"/>
          <w:lang w:val="en-US" w:eastAsia="zh-CN"/>
        </w:rPr>
        <w:t>的耐热手套；</w:t>
      </w:r>
    </w:p>
    <w:p w14:paraId="2DF716B6">
      <w:pPr>
        <w:pStyle w:val="133"/>
        <w:rPr>
          <w:rFonts w:hint="default"/>
          <w:lang w:val="en-US" w:eastAsia="zh-CN"/>
        </w:rPr>
      </w:pPr>
      <w:r>
        <w:rPr>
          <w:rFonts w:hint="default"/>
          <w:lang w:val="en-US" w:eastAsia="zh-CN"/>
        </w:rPr>
        <w:t>从事临时用电作业</w:t>
      </w:r>
      <w:r>
        <w:rPr>
          <w:rFonts w:hint="eastAsia"/>
          <w:lang w:val="en-US" w:eastAsia="zh-CN"/>
        </w:rPr>
        <w:t>应</w:t>
      </w:r>
      <w:r>
        <w:rPr>
          <w:rFonts w:hint="default"/>
          <w:lang w:val="en-US" w:eastAsia="zh-CN"/>
        </w:rPr>
        <w:t>穿绝缘鞋</w:t>
      </w:r>
      <w:r>
        <w:rPr>
          <w:rFonts w:hint="eastAsia"/>
          <w:lang w:val="en-US" w:eastAsia="zh-CN"/>
        </w:rPr>
        <w:t>（</w:t>
      </w:r>
      <w:r>
        <w:rPr>
          <w:rFonts w:hint="default"/>
          <w:lang w:val="en-US" w:eastAsia="zh-CN"/>
        </w:rPr>
        <w:t>靴</w:t>
      </w:r>
      <w:r>
        <w:rPr>
          <w:rFonts w:hint="eastAsia"/>
          <w:lang w:val="en-US" w:eastAsia="zh-CN"/>
        </w:rPr>
        <w:t>）</w:t>
      </w:r>
      <w:r>
        <w:rPr>
          <w:rFonts w:hint="default"/>
          <w:lang w:val="en-US" w:eastAsia="zh-CN"/>
        </w:rPr>
        <w:t>、戴绝缘手套；</w:t>
      </w:r>
    </w:p>
    <w:p w14:paraId="1702BDAC">
      <w:pPr>
        <w:pStyle w:val="133"/>
        <w:rPr>
          <w:rFonts w:hint="default"/>
          <w:lang w:val="en-US" w:eastAsia="zh-CN"/>
        </w:rPr>
      </w:pPr>
      <w:r>
        <w:rPr>
          <w:rFonts w:hint="default"/>
          <w:lang w:val="en-US" w:eastAsia="zh-CN"/>
        </w:rPr>
        <w:t>进行抽排水等涉水作业时应穿防水靴；</w:t>
      </w:r>
    </w:p>
    <w:p w14:paraId="0EE7D0E8">
      <w:pPr>
        <w:pStyle w:val="133"/>
        <w:rPr>
          <w:rFonts w:hint="default"/>
          <w:lang w:val="en-US" w:eastAsia="zh-CN"/>
        </w:rPr>
      </w:pPr>
      <w:r>
        <w:rPr>
          <w:rFonts w:hint="default"/>
          <w:lang w:val="en-US" w:eastAsia="zh-CN"/>
        </w:rPr>
        <w:t>所有进入施工现场的人员</w:t>
      </w:r>
      <w:r>
        <w:rPr>
          <w:rFonts w:hint="eastAsia"/>
          <w:lang w:val="en-US" w:eastAsia="zh-CN"/>
        </w:rPr>
        <w:t>应</w:t>
      </w:r>
      <w:r>
        <w:rPr>
          <w:rFonts w:hint="default"/>
          <w:lang w:val="en-US" w:eastAsia="zh-CN"/>
        </w:rPr>
        <w:t>穿着具有防砸、防刺穿功能的安全鞋。</w:t>
      </w:r>
    </w:p>
    <w:p w14:paraId="415C49F8">
      <w:pPr>
        <w:pStyle w:val="165"/>
        <w:rPr>
          <w:rFonts w:hint="default"/>
          <w:lang w:val="en-US" w:eastAsia="zh-CN"/>
        </w:rPr>
      </w:pPr>
      <w:r>
        <w:rPr>
          <w:rFonts w:hint="default"/>
          <w:lang w:val="en-US" w:eastAsia="zh-CN"/>
        </w:rPr>
        <w:t>防护装备的使用与维护应满足以下规定：</w:t>
      </w:r>
    </w:p>
    <w:p w14:paraId="07CD0A5D">
      <w:pPr>
        <w:pStyle w:val="133"/>
        <w:rPr>
          <w:rFonts w:hint="default"/>
          <w:lang w:val="en-US" w:eastAsia="zh-CN"/>
        </w:rPr>
      </w:pPr>
      <w:r>
        <w:rPr>
          <w:rFonts w:hint="default"/>
          <w:lang w:val="en-US" w:eastAsia="zh-CN"/>
        </w:rPr>
        <w:t>每次使用前</w:t>
      </w:r>
      <w:r>
        <w:rPr>
          <w:rFonts w:hint="eastAsia"/>
          <w:lang w:val="en-US" w:eastAsia="zh-CN"/>
        </w:rPr>
        <w:t>应</w:t>
      </w:r>
      <w:r>
        <w:rPr>
          <w:rFonts w:hint="default"/>
          <w:lang w:val="en-US" w:eastAsia="zh-CN"/>
        </w:rPr>
        <w:t>检查防护装备的完整性、有效期及防护性能，确认完好后方可使用；</w:t>
      </w:r>
    </w:p>
    <w:p w14:paraId="083BB671">
      <w:pPr>
        <w:pStyle w:val="133"/>
        <w:rPr>
          <w:rFonts w:hint="default"/>
          <w:lang w:val="en-US" w:eastAsia="zh-CN"/>
        </w:rPr>
      </w:pPr>
      <w:r>
        <w:rPr>
          <w:rFonts w:hint="default"/>
          <w:lang w:val="en-US" w:eastAsia="zh-CN"/>
        </w:rPr>
        <w:t>防护装备应保持清洁、干燥，定期进行专业保养；</w:t>
      </w:r>
    </w:p>
    <w:p w14:paraId="3F543111">
      <w:pPr>
        <w:pStyle w:val="133"/>
        <w:rPr>
          <w:rFonts w:hint="default"/>
          <w:lang w:val="en-US" w:eastAsia="zh-CN"/>
        </w:rPr>
      </w:pPr>
      <w:r>
        <w:rPr>
          <w:rFonts w:hint="default"/>
          <w:lang w:val="en-US" w:eastAsia="zh-CN"/>
        </w:rPr>
        <w:t>发现防护装备出现破损、老化、变硬或防护性能明显下降时，</w:t>
      </w:r>
      <w:r>
        <w:rPr>
          <w:rFonts w:hint="eastAsia"/>
          <w:lang w:val="en-US" w:eastAsia="zh-CN"/>
        </w:rPr>
        <w:t>应</w:t>
      </w:r>
      <w:r>
        <w:rPr>
          <w:rFonts w:hint="default"/>
          <w:lang w:val="en-US" w:eastAsia="zh-CN"/>
        </w:rPr>
        <w:t>立即停止使用并更换。</w:t>
      </w:r>
    </w:p>
    <w:p w14:paraId="7E860913">
      <w:pPr>
        <w:pStyle w:val="165"/>
        <w:rPr>
          <w:rFonts w:hint="default"/>
          <w:lang w:val="en-US" w:eastAsia="zh-CN"/>
        </w:rPr>
      </w:pPr>
      <w:r>
        <w:rPr>
          <w:rFonts w:hint="default"/>
          <w:lang w:val="en-US" w:eastAsia="zh-CN"/>
        </w:rPr>
        <w:t>防暑降温保障应符合以下规定：</w:t>
      </w:r>
    </w:p>
    <w:p w14:paraId="4BEE9092">
      <w:pPr>
        <w:pStyle w:val="133"/>
        <w:rPr>
          <w:rFonts w:hint="default"/>
          <w:lang w:val="en-US" w:eastAsia="zh-CN"/>
        </w:rPr>
      </w:pPr>
      <w:r>
        <w:rPr>
          <w:rFonts w:hint="default"/>
          <w:lang w:val="en-US" w:eastAsia="zh-CN"/>
        </w:rPr>
        <w:t>高温季节施工现场</w:t>
      </w:r>
      <w:r>
        <w:rPr>
          <w:rFonts w:hint="eastAsia"/>
          <w:lang w:val="en-US" w:eastAsia="zh-CN"/>
        </w:rPr>
        <w:t>应</w:t>
      </w:r>
      <w:r>
        <w:rPr>
          <w:rFonts w:hint="default"/>
          <w:lang w:val="en-US" w:eastAsia="zh-CN"/>
        </w:rPr>
        <w:t>配备充足的防暑降温物资，如饮用水、绿豆汤、藿香正气水等；</w:t>
      </w:r>
    </w:p>
    <w:p w14:paraId="3BE496CE">
      <w:pPr>
        <w:pStyle w:val="133"/>
        <w:rPr>
          <w:rFonts w:hint="default"/>
          <w:lang w:val="en-US" w:eastAsia="zh-CN"/>
        </w:rPr>
      </w:pPr>
      <w:r>
        <w:rPr>
          <w:rFonts w:hint="default"/>
          <w:lang w:val="en-US" w:eastAsia="zh-CN"/>
        </w:rPr>
        <w:t>应合理安排作业时间，采取轮换作业等制度，定期为作业人员提供防暑降温保障。</w:t>
      </w:r>
    </w:p>
    <w:p w14:paraId="68BB2AB0">
      <w:pPr>
        <w:pStyle w:val="165"/>
        <w:rPr>
          <w:rFonts w:hint="default"/>
          <w:lang w:val="en-US" w:eastAsia="zh-CN"/>
        </w:rPr>
      </w:pPr>
      <w:r>
        <w:rPr>
          <w:rFonts w:hint="default"/>
          <w:lang w:val="en-US" w:eastAsia="zh-CN"/>
        </w:rPr>
        <w:t>现场应急医药配备应符合以下规定：</w:t>
      </w:r>
    </w:p>
    <w:p w14:paraId="5484BFD6">
      <w:pPr>
        <w:pStyle w:val="133"/>
        <w:rPr>
          <w:rFonts w:hint="default"/>
          <w:lang w:val="en-US" w:eastAsia="zh-CN"/>
        </w:rPr>
      </w:pPr>
      <w:r>
        <w:rPr>
          <w:rFonts w:hint="default"/>
          <w:lang w:val="en-US" w:eastAsia="zh-CN"/>
        </w:rPr>
        <w:t>施工现场</w:t>
      </w:r>
      <w:r>
        <w:rPr>
          <w:rFonts w:hint="eastAsia"/>
          <w:lang w:val="en-US" w:eastAsia="zh-CN"/>
        </w:rPr>
        <w:t>应</w:t>
      </w:r>
      <w:r>
        <w:rPr>
          <w:rFonts w:hint="default"/>
          <w:lang w:val="en-US" w:eastAsia="zh-CN"/>
        </w:rPr>
        <w:t>设置专用医药箱，并置于便于取用的固定位置；</w:t>
      </w:r>
    </w:p>
    <w:p w14:paraId="1BE66B9C">
      <w:pPr>
        <w:pStyle w:val="133"/>
        <w:rPr>
          <w:rFonts w:hint="default"/>
          <w:lang w:val="en-US" w:eastAsia="zh-CN"/>
        </w:rPr>
      </w:pPr>
      <w:r>
        <w:rPr>
          <w:rFonts w:hint="default"/>
          <w:lang w:val="en-US" w:eastAsia="zh-CN"/>
        </w:rPr>
        <w:t>医药箱内</w:t>
      </w:r>
      <w:r>
        <w:rPr>
          <w:rFonts w:hint="eastAsia"/>
          <w:lang w:val="en-US" w:eastAsia="zh-CN"/>
        </w:rPr>
        <w:t>应</w:t>
      </w:r>
      <w:r>
        <w:rPr>
          <w:rFonts w:hint="default"/>
          <w:lang w:val="en-US" w:eastAsia="zh-CN"/>
        </w:rPr>
        <w:t>配备中暑急救药品、消毒用品、绷带、创可贴等常用医疗物资；</w:t>
      </w:r>
    </w:p>
    <w:p w14:paraId="0322D68A">
      <w:pPr>
        <w:pStyle w:val="133"/>
        <w:rPr>
          <w:rFonts w:hint="eastAsia"/>
          <w:lang w:val="en-US" w:eastAsia="zh-CN"/>
        </w:rPr>
      </w:pPr>
      <w:r>
        <w:rPr>
          <w:rFonts w:hint="eastAsia"/>
          <w:lang w:val="en-US" w:eastAsia="zh-CN"/>
        </w:rPr>
        <w:t>应</w:t>
      </w:r>
      <w:r>
        <w:rPr>
          <w:rFonts w:hint="default"/>
          <w:lang w:val="en-US" w:eastAsia="zh-CN"/>
        </w:rPr>
        <w:t>指定专人负责医药箱的管理，定期检查药品和物资的有效期，及时补充更换，确保应急状态下的可用性。</w:t>
      </w:r>
    </w:p>
    <w:p w14:paraId="07DB94C3">
      <w:pPr>
        <w:pStyle w:val="113"/>
        <w:spacing w:before="120" w:after="120"/>
        <w:rPr>
          <w:rFonts w:hint="eastAsia"/>
          <w:color w:val="auto"/>
          <w:highlight w:val="none"/>
        </w:rPr>
      </w:pPr>
      <w:r>
        <w:rPr>
          <w:rFonts w:hint="eastAsia"/>
          <w:color w:val="auto"/>
          <w:highlight w:val="none"/>
          <w:lang w:val="en-US" w:eastAsia="zh-CN"/>
        </w:rPr>
        <w:t>劳动防护配置表</w:t>
      </w:r>
    </w:p>
    <w:tbl>
      <w:tblPr>
        <w:tblStyle w:val="27"/>
        <w:tblW w:w="4595" w:type="pct"/>
        <w:tblInd w:w="0" w:type="dxa"/>
        <w:tblLayout w:type="autofit"/>
        <w:tblCellMar>
          <w:top w:w="0" w:type="dxa"/>
          <w:left w:w="0" w:type="dxa"/>
          <w:bottom w:w="0" w:type="dxa"/>
          <w:right w:w="0" w:type="dxa"/>
        </w:tblCellMar>
      </w:tblPr>
      <w:tblGrid>
        <w:gridCol w:w="341"/>
        <w:gridCol w:w="2049"/>
        <w:gridCol w:w="2049"/>
        <w:gridCol w:w="678"/>
        <w:gridCol w:w="3507"/>
      </w:tblGrid>
      <w:tr w14:paraId="733A175A">
        <w:tblPrEx>
          <w:tblCellMar>
            <w:top w:w="0" w:type="dxa"/>
            <w:left w:w="0" w:type="dxa"/>
            <w:bottom w:w="0" w:type="dxa"/>
            <w:right w:w="0" w:type="dxa"/>
          </w:tblCellMar>
        </w:tblPrEx>
        <w:trPr>
          <w:trHeight w:val="231"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88F37BD">
            <w:pPr>
              <w:pStyle w:val="179"/>
              <w:rPr>
                <w:rFonts w:hint="eastAsia"/>
                <w:b/>
                <w:bCs/>
                <w:color w:val="auto"/>
                <w:highlight w:val="none"/>
              </w:rPr>
            </w:pPr>
            <w:r>
              <w:rPr>
                <w:rFonts w:hint="eastAsia"/>
                <w:b/>
                <w:bCs/>
                <w:color w:val="auto"/>
                <w:highlight w:val="none"/>
              </w:rPr>
              <w:t>序号</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7DDDCD">
            <w:pPr>
              <w:pStyle w:val="179"/>
              <w:rPr>
                <w:rFonts w:hint="eastAsia"/>
                <w:b/>
                <w:bCs/>
                <w:color w:val="auto"/>
                <w:highlight w:val="none"/>
              </w:rPr>
            </w:pPr>
            <w:r>
              <w:rPr>
                <w:rFonts w:hint="eastAsia"/>
                <w:b/>
                <w:bCs/>
                <w:color w:val="auto"/>
                <w:highlight w:val="none"/>
              </w:rPr>
              <w:t>装备名称</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FA6163">
            <w:pPr>
              <w:pStyle w:val="179"/>
              <w:rPr>
                <w:rFonts w:hint="eastAsia"/>
                <w:b/>
                <w:bCs/>
                <w:color w:val="auto"/>
                <w:highlight w:val="none"/>
                <w:lang w:val="en-US" w:eastAsia="zh-CN"/>
              </w:rPr>
            </w:pPr>
            <w:r>
              <w:rPr>
                <w:rFonts w:hint="eastAsia"/>
                <w:b/>
                <w:bCs/>
                <w:color w:val="auto"/>
                <w:highlight w:val="none"/>
                <w:lang w:val="en-US" w:eastAsia="zh-CN"/>
              </w:rPr>
              <w:t>使用</w:t>
            </w:r>
            <w:r>
              <w:rPr>
                <w:rFonts w:hint="eastAsia"/>
                <w:b/>
                <w:bCs/>
                <w:color w:val="auto"/>
                <w:highlight w:val="none"/>
              </w:rPr>
              <w:t>作业</w:t>
            </w:r>
            <w:r>
              <w:rPr>
                <w:rFonts w:hint="eastAsia"/>
                <w:b/>
                <w:bCs/>
                <w:color w:val="auto"/>
                <w:highlight w:val="none"/>
                <w:lang w:val="en-US" w:eastAsia="zh-CN"/>
              </w:rPr>
              <w:t>类型</w:t>
            </w:r>
          </w:p>
        </w:tc>
        <w:tc>
          <w:tcPr>
            <w:tcW w:w="393"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E5C9A7">
            <w:pPr>
              <w:pStyle w:val="179"/>
              <w:rPr>
                <w:rFonts w:hint="eastAsia"/>
                <w:b/>
                <w:bCs/>
                <w:color w:val="auto"/>
                <w:highlight w:val="none"/>
              </w:rPr>
            </w:pPr>
            <w:r>
              <w:rPr>
                <w:rFonts w:hint="eastAsia"/>
                <w:b/>
                <w:bCs/>
                <w:color w:val="auto"/>
                <w:highlight w:val="none"/>
              </w:rPr>
              <w:t>装备类型</w:t>
            </w: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FDABB0">
            <w:pPr>
              <w:pStyle w:val="179"/>
              <w:rPr>
                <w:rFonts w:hint="eastAsia"/>
                <w:b/>
                <w:bCs/>
                <w:color w:val="auto"/>
                <w:highlight w:val="none"/>
              </w:rPr>
            </w:pPr>
            <w:r>
              <w:rPr>
                <w:rFonts w:hint="eastAsia"/>
                <w:b/>
                <w:bCs/>
                <w:color w:val="auto"/>
                <w:highlight w:val="none"/>
              </w:rPr>
              <w:t>主要用途</w:t>
            </w:r>
          </w:p>
        </w:tc>
      </w:tr>
      <w:tr w14:paraId="5808B801">
        <w:tblPrEx>
          <w:tblCellMar>
            <w:top w:w="0" w:type="dxa"/>
            <w:left w:w="0" w:type="dxa"/>
            <w:bottom w:w="0" w:type="dxa"/>
            <w:right w:w="0" w:type="dxa"/>
          </w:tblCellMar>
        </w:tblPrEx>
        <w:trPr>
          <w:trHeight w:val="437"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FE3819">
            <w:pPr>
              <w:pStyle w:val="179"/>
              <w:rPr>
                <w:rFonts w:hint="eastAsia"/>
                <w:color w:val="auto"/>
                <w:highlight w:val="none"/>
              </w:rPr>
            </w:pPr>
            <w:r>
              <w:rPr>
                <w:rFonts w:hint="eastAsia"/>
                <w:color w:val="auto"/>
                <w:highlight w:val="none"/>
              </w:rPr>
              <w:t>1</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E035B0">
            <w:pPr>
              <w:pStyle w:val="179"/>
              <w:ind w:firstLine="0" w:firstLineChars="0"/>
              <w:rPr>
                <w:rFonts w:hint="eastAsia"/>
                <w:color w:val="auto"/>
                <w:highlight w:val="none"/>
              </w:rPr>
            </w:pPr>
            <w:r>
              <w:rPr>
                <w:rFonts w:hint="eastAsia"/>
                <w:color w:val="auto"/>
                <w:highlight w:val="none"/>
              </w:rPr>
              <w:t>安全帽</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23300A6">
            <w:pPr>
              <w:pStyle w:val="179"/>
              <w:rPr>
                <w:rFonts w:hint="eastAsia"/>
                <w:color w:val="auto"/>
                <w:highlight w:val="none"/>
              </w:rPr>
            </w:pPr>
            <w:r>
              <w:rPr>
                <w:rFonts w:hint="eastAsia"/>
                <w:color w:val="auto"/>
                <w:highlight w:val="none"/>
              </w:rPr>
              <w:t>高处作业、动土作业、有限空间作业、吊装作业、临时用电作业</w:t>
            </w:r>
          </w:p>
        </w:tc>
        <w:tc>
          <w:tcPr>
            <w:tcW w:w="393"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3994AA">
            <w:pPr>
              <w:pStyle w:val="179"/>
              <w:rPr>
                <w:rFonts w:hint="eastAsia"/>
                <w:color w:val="auto"/>
                <w:highlight w:val="none"/>
              </w:rPr>
            </w:pPr>
            <w:r>
              <w:rPr>
                <w:rFonts w:hint="eastAsia"/>
                <w:color w:val="auto"/>
                <w:highlight w:val="none"/>
              </w:rPr>
              <w:t>头部防护</w:t>
            </w: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7340D7">
            <w:pPr>
              <w:pStyle w:val="179"/>
              <w:rPr>
                <w:rFonts w:hint="eastAsia"/>
                <w:color w:val="auto"/>
                <w:highlight w:val="none"/>
              </w:rPr>
            </w:pPr>
            <w:r>
              <w:rPr>
                <w:rFonts w:hint="eastAsia"/>
                <w:color w:val="auto"/>
                <w:highlight w:val="none"/>
              </w:rPr>
              <w:t>防护物体对头部造成冲击、刺穿、挤压等伤害</w:t>
            </w:r>
          </w:p>
        </w:tc>
      </w:tr>
      <w:tr w14:paraId="30D16201">
        <w:tblPrEx>
          <w:tblCellMar>
            <w:top w:w="0" w:type="dxa"/>
            <w:left w:w="0" w:type="dxa"/>
            <w:bottom w:w="0" w:type="dxa"/>
            <w:right w:w="0" w:type="dxa"/>
          </w:tblCellMar>
        </w:tblPrEx>
        <w:trPr>
          <w:trHeight w:val="230"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0C004BD">
            <w:pPr>
              <w:pStyle w:val="179"/>
              <w:rPr>
                <w:rFonts w:hint="eastAsia"/>
                <w:color w:val="auto"/>
                <w:highlight w:val="none"/>
              </w:rPr>
            </w:pPr>
            <w:r>
              <w:rPr>
                <w:rFonts w:hint="eastAsia"/>
                <w:color w:val="auto"/>
                <w:highlight w:val="none"/>
              </w:rPr>
              <w:t>2</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494F90">
            <w:pPr>
              <w:pStyle w:val="179"/>
              <w:ind w:firstLine="0" w:firstLineChars="0"/>
              <w:rPr>
                <w:rFonts w:hint="eastAsia"/>
                <w:color w:val="auto"/>
                <w:highlight w:val="none"/>
              </w:rPr>
            </w:pPr>
            <w:r>
              <w:rPr>
                <w:rFonts w:hint="eastAsia"/>
                <w:color w:val="auto"/>
                <w:highlight w:val="none"/>
              </w:rPr>
              <w:t>焊接眼护具</w:t>
            </w:r>
          </w:p>
        </w:tc>
        <w:tc>
          <w:tcPr>
            <w:tcW w:w="1187" w:type="pct"/>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64F5F94">
            <w:pPr>
              <w:pStyle w:val="179"/>
              <w:rPr>
                <w:rFonts w:hint="eastAsia"/>
                <w:color w:val="auto"/>
                <w:highlight w:val="none"/>
              </w:rPr>
            </w:pPr>
            <w:r>
              <w:rPr>
                <w:rFonts w:hint="eastAsia"/>
                <w:color w:val="auto"/>
                <w:highlight w:val="none"/>
              </w:rPr>
              <w:t>动火作业</w:t>
            </w:r>
          </w:p>
        </w:tc>
        <w:tc>
          <w:tcPr>
            <w:tcW w:w="393" w:type="pct"/>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5554C6">
            <w:pPr>
              <w:pStyle w:val="179"/>
              <w:rPr>
                <w:rFonts w:hint="eastAsia"/>
                <w:color w:val="auto"/>
                <w:highlight w:val="none"/>
              </w:rPr>
            </w:pPr>
            <w:r>
              <w:rPr>
                <w:rFonts w:hint="eastAsia"/>
                <w:color w:val="auto"/>
                <w:highlight w:val="none"/>
              </w:rPr>
              <w:t>眼面防护</w:t>
            </w: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B5132A">
            <w:pPr>
              <w:pStyle w:val="179"/>
              <w:rPr>
                <w:rFonts w:hint="eastAsia"/>
                <w:color w:val="auto"/>
                <w:highlight w:val="none"/>
              </w:rPr>
            </w:pPr>
            <w:r>
              <w:rPr>
                <w:rFonts w:hint="eastAsia"/>
                <w:color w:val="auto"/>
                <w:highlight w:val="none"/>
              </w:rPr>
              <w:t>防护有害弧光、熔融金属飞溅等对眼部产生的伤害</w:t>
            </w:r>
          </w:p>
        </w:tc>
      </w:tr>
      <w:tr w14:paraId="008D7C68">
        <w:tblPrEx>
          <w:tblCellMar>
            <w:top w:w="0" w:type="dxa"/>
            <w:left w:w="0" w:type="dxa"/>
            <w:bottom w:w="0" w:type="dxa"/>
            <w:right w:w="0" w:type="dxa"/>
          </w:tblCellMar>
        </w:tblPrEx>
        <w:trPr>
          <w:trHeight w:val="276"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CA3259">
            <w:pPr>
              <w:pStyle w:val="179"/>
              <w:rPr>
                <w:rFonts w:hint="eastAsia"/>
                <w:color w:val="auto"/>
                <w:highlight w:val="none"/>
              </w:rPr>
            </w:pPr>
            <w:r>
              <w:rPr>
                <w:rFonts w:hint="eastAsia"/>
                <w:color w:val="auto"/>
                <w:highlight w:val="none"/>
              </w:rPr>
              <w:t>3</w:t>
            </w:r>
          </w:p>
        </w:tc>
        <w:tc>
          <w:tcPr>
            <w:tcW w:w="1187" w:type="pct"/>
            <w:tcBorders>
              <w:top w:val="single" w:color="000000" w:sz="4" w:space="0"/>
              <w:left w:val="single" w:color="000000" w:sz="4" w:space="0"/>
              <w:bottom w:val="single" w:color="000000" w:sz="4" w:space="0"/>
              <w:right w:val="single" w:color="000000" w:sz="4" w:space="0"/>
            </w:tcBorders>
            <w:vAlign w:val="center"/>
          </w:tcPr>
          <w:p w14:paraId="6FBFFE8C">
            <w:pPr>
              <w:pStyle w:val="179"/>
              <w:ind w:firstLine="0" w:firstLineChars="0"/>
              <w:rPr>
                <w:rFonts w:hint="eastAsia"/>
                <w:color w:val="auto"/>
                <w:highlight w:val="none"/>
              </w:rPr>
            </w:pPr>
            <w:r>
              <w:rPr>
                <w:rFonts w:hint="eastAsia"/>
                <w:color w:val="auto"/>
                <w:highlight w:val="none"/>
              </w:rPr>
              <w:t>防护面罩</w:t>
            </w:r>
          </w:p>
        </w:tc>
        <w:tc>
          <w:tcPr>
            <w:tcW w:w="1187" w:type="pct"/>
            <w:vMerge w:val="continue"/>
            <w:tcBorders>
              <w:top w:val="single" w:color="000000" w:sz="4" w:space="0"/>
              <w:left w:val="single" w:color="000000" w:sz="4" w:space="0"/>
              <w:bottom w:val="single" w:color="000000" w:sz="4" w:space="0"/>
              <w:right w:val="single" w:color="000000" w:sz="4" w:space="0"/>
            </w:tcBorders>
            <w:vAlign w:val="center"/>
          </w:tcPr>
          <w:p w14:paraId="1A95AABD">
            <w:pPr>
              <w:pStyle w:val="179"/>
              <w:rPr>
                <w:rFonts w:hint="eastAsia"/>
                <w:color w:val="auto"/>
                <w:highlight w:val="none"/>
              </w:rPr>
            </w:pP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14:paraId="17CA8AC3">
            <w:pPr>
              <w:pStyle w:val="179"/>
              <w:rPr>
                <w:rFonts w:hint="eastAsia"/>
                <w:color w:val="auto"/>
                <w:highlight w:val="none"/>
              </w:rPr>
            </w:pP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358F11">
            <w:pPr>
              <w:pStyle w:val="179"/>
              <w:rPr>
                <w:rFonts w:hint="eastAsia"/>
                <w:color w:val="auto"/>
                <w:highlight w:val="none"/>
              </w:rPr>
            </w:pPr>
            <w:r>
              <w:rPr>
                <w:rFonts w:hint="eastAsia"/>
                <w:color w:val="auto"/>
                <w:highlight w:val="none"/>
              </w:rPr>
              <w:t>防护铁屑、灰砂、碎石等物体飞溅对眼部产生的伤害</w:t>
            </w:r>
          </w:p>
        </w:tc>
      </w:tr>
      <w:tr w14:paraId="3AB55686">
        <w:tblPrEx>
          <w:tblCellMar>
            <w:top w:w="0" w:type="dxa"/>
            <w:left w:w="0" w:type="dxa"/>
            <w:bottom w:w="0" w:type="dxa"/>
            <w:right w:w="0" w:type="dxa"/>
          </w:tblCellMar>
        </w:tblPrEx>
        <w:trPr>
          <w:trHeight w:val="399"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81935C9">
            <w:pPr>
              <w:pStyle w:val="179"/>
              <w:rPr>
                <w:rFonts w:hint="eastAsia"/>
                <w:color w:val="auto"/>
                <w:highlight w:val="none"/>
              </w:rPr>
            </w:pPr>
            <w:r>
              <w:rPr>
                <w:rFonts w:hint="eastAsia"/>
                <w:color w:val="auto"/>
                <w:highlight w:val="none"/>
              </w:rPr>
              <w:t>4</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196977">
            <w:pPr>
              <w:pStyle w:val="179"/>
              <w:ind w:firstLine="0" w:firstLineChars="0"/>
              <w:rPr>
                <w:rFonts w:hint="eastAsia"/>
                <w:color w:val="auto"/>
                <w:highlight w:val="none"/>
              </w:rPr>
            </w:pPr>
            <w:r>
              <w:rPr>
                <w:rFonts w:hint="eastAsia"/>
                <w:color w:val="auto"/>
                <w:highlight w:val="none"/>
              </w:rPr>
              <w:t>正压式空气呼吸器</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E3FA5C7">
            <w:pPr>
              <w:pStyle w:val="179"/>
              <w:rPr>
                <w:rFonts w:hint="eastAsia"/>
                <w:color w:val="auto"/>
                <w:highlight w:val="none"/>
              </w:rPr>
            </w:pPr>
            <w:r>
              <w:rPr>
                <w:rFonts w:hint="eastAsia"/>
                <w:color w:val="auto"/>
                <w:highlight w:val="none"/>
              </w:rPr>
              <w:t>有限空间作业</w:t>
            </w:r>
          </w:p>
        </w:tc>
        <w:tc>
          <w:tcPr>
            <w:tcW w:w="393"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8DFD89">
            <w:pPr>
              <w:pStyle w:val="179"/>
              <w:rPr>
                <w:rFonts w:hint="eastAsia"/>
                <w:color w:val="auto"/>
                <w:highlight w:val="none"/>
              </w:rPr>
            </w:pPr>
            <w:r>
              <w:rPr>
                <w:rFonts w:hint="eastAsia"/>
                <w:color w:val="auto"/>
                <w:highlight w:val="none"/>
              </w:rPr>
              <w:t>呼吸防护</w:t>
            </w: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CD1A9B">
            <w:pPr>
              <w:pStyle w:val="179"/>
              <w:rPr>
                <w:rFonts w:hint="eastAsia"/>
                <w:color w:val="auto"/>
                <w:highlight w:val="none"/>
              </w:rPr>
            </w:pPr>
            <w:r>
              <w:rPr>
                <w:rFonts w:hint="eastAsia"/>
                <w:color w:val="auto"/>
                <w:highlight w:val="none"/>
              </w:rPr>
              <w:t>保护现场处置人员能够在充满浓烟、毒气、蒸汽或缺氧的恶劣环境下安全地进行抢险救灾和救护</w:t>
            </w:r>
          </w:p>
        </w:tc>
      </w:tr>
      <w:tr w14:paraId="09A04B6F">
        <w:tblPrEx>
          <w:tblCellMar>
            <w:top w:w="0" w:type="dxa"/>
            <w:left w:w="0" w:type="dxa"/>
            <w:bottom w:w="0" w:type="dxa"/>
            <w:right w:w="0" w:type="dxa"/>
          </w:tblCellMar>
        </w:tblPrEx>
        <w:trPr>
          <w:trHeight w:val="325"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9D398F">
            <w:pPr>
              <w:pStyle w:val="179"/>
              <w:rPr>
                <w:rFonts w:hint="eastAsia"/>
                <w:color w:val="auto"/>
                <w:highlight w:val="none"/>
              </w:rPr>
            </w:pPr>
            <w:r>
              <w:rPr>
                <w:rFonts w:hint="eastAsia"/>
                <w:color w:val="auto"/>
                <w:highlight w:val="none"/>
              </w:rPr>
              <w:t>5</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E9B421E">
            <w:pPr>
              <w:pStyle w:val="179"/>
              <w:ind w:firstLine="0" w:firstLineChars="0"/>
              <w:rPr>
                <w:rFonts w:hint="eastAsia"/>
                <w:color w:val="auto"/>
                <w:highlight w:val="none"/>
              </w:rPr>
            </w:pPr>
            <w:r>
              <w:rPr>
                <w:rFonts w:hint="eastAsia"/>
                <w:color w:val="auto"/>
                <w:highlight w:val="none"/>
              </w:rPr>
              <w:t>隔热服</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4E993EF">
            <w:pPr>
              <w:pStyle w:val="179"/>
              <w:rPr>
                <w:rFonts w:hint="eastAsia"/>
                <w:color w:val="auto"/>
                <w:highlight w:val="none"/>
              </w:rPr>
            </w:pPr>
            <w:r>
              <w:rPr>
                <w:rFonts w:hint="eastAsia"/>
                <w:color w:val="auto"/>
                <w:highlight w:val="none"/>
              </w:rPr>
              <w:t>有限空间作业、动土作业</w:t>
            </w:r>
          </w:p>
        </w:tc>
        <w:tc>
          <w:tcPr>
            <w:tcW w:w="393" w:type="pct"/>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A40D8AC">
            <w:pPr>
              <w:pStyle w:val="179"/>
              <w:rPr>
                <w:rFonts w:hint="eastAsia"/>
                <w:color w:val="auto"/>
                <w:highlight w:val="none"/>
              </w:rPr>
            </w:pPr>
            <w:r>
              <w:rPr>
                <w:rFonts w:hint="eastAsia"/>
                <w:color w:val="auto"/>
                <w:highlight w:val="none"/>
              </w:rPr>
              <w:t>躯干防护</w:t>
            </w: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63E1FE">
            <w:pPr>
              <w:pStyle w:val="179"/>
              <w:rPr>
                <w:rFonts w:hint="eastAsia"/>
                <w:color w:val="auto"/>
                <w:highlight w:val="none"/>
              </w:rPr>
            </w:pPr>
            <w:r>
              <w:rPr>
                <w:rFonts w:hint="eastAsia"/>
                <w:color w:val="auto"/>
                <w:highlight w:val="none"/>
              </w:rPr>
              <w:t>防护炙热物体对身体的伤害</w:t>
            </w:r>
          </w:p>
        </w:tc>
      </w:tr>
      <w:tr w14:paraId="4DB50B7F">
        <w:tblPrEx>
          <w:tblCellMar>
            <w:top w:w="0" w:type="dxa"/>
            <w:left w:w="0" w:type="dxa"/>
            <w:bottom w:w="0" w:type="dxa"/>
            <w:right w:w="0" w:type="dxa"/>
          </w:tblCellMar>
        </w:tblPrEx>
        <w:trPr>
          <w:trHeight w:val="371"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D42896">
            <w:pPr>
              <w:pStyle w:val="179"/>
              <w:rPr>
                <w:rFonts w:hint="eastAsia"/>
                <w:color w:val="auto"/>
                <w:highlight w:val="none"/>
              </w:rPr>
            </w:pPr>
            <w:r>
              <w:rPr>
                <w:rFonts w:hint="eastAsia"/>
                <w:color w:val="auto"/>
                <w:highlight w:val="none"/>
              </w:rPr>
              <w:t>6</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72C8AB7">
            <w:pPr>
              <w:pStyle w:val="179"/>
              <w:ind w:firstLine="0" w:firstLineChars="0"/>
              <w:rPr>
                <w:rFonts w:hint="eastAsia"/>
                <w:color w:val="auto"/>
                <w:highlight w:val="none"/>
              </w:rPr>
            </w:pPr>
            <w:r>
              <w:rPr>
                <w:rFonts w:hint="eastAsia"/>
                <w:color w:val="auto"/>
                <w:highlight w:val="none"/>
              </w:rPr>
              <w:t>焊接服</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258C5F8">
            <w:pPr>
              <w:pStyle w:val="179"/>
              <w:rPr>
                <w:rFonts w:hint="eastAsia"/>
                <w:color w:val="auto"/>
                <w:highlight w:val="none"/>
              </w:rPr>
            </w:pPr>
            <w:r>
              <w:rPr>
                <w:rFonts w:hint="eastAsia"/>
                <w:color w:val="auto"/>
                <w:highlight w:val="none"/>
              </w:rPr>
              <w:t>动火作业</w:t>
            </w: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14:paraId="35672DF4">
            <w:pPr>
              <w:pStyle w:val="179"/>
              <w:rPr>
                <w:rFonts w:hint="eastAsia"/>
                <w:color w:val="auto"/>
                <w:highlight w:val="none"/>
              </w:rPr>
            </w:pP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433B0B0">
            <w:pPr>
              <w:pStyle w:val="179"/>
              <w:rPr>
                <w:rFonts w:hint="eastAsia"/>
                <w:color w:val="auto"/>
                <w:highlight w:val="none"/>
              </w:rPr>
            </w:pPr>
            <w:r>
              <w:rPr>
                <w:rFonts w:hint="eastAsia"/>
                <w:color w:val="auto"/>
                <w:highlight w:val="none"/>
              </w:rPr>
              <w:t>防护焊接飞溅物对身体的伤害</w:t>
            </w:r>
          </w:p>
        </w:tc>
      </w:tr>
      <w:tr w14:paraId="0861DA3B">
        <w:tblPrEx>
          <w:tblCellMar>
            <w:top w:w="0" w:type="dxa"/>
            <w:left w:w="0" w:type="dxa"/>
            <w:bottom w:w="0" w:type="dxa"/>
            <w:right w:w="0" w:type="dxa"/>
          </w:tblCellMar>
        </w:tblPrEx>
        <w:trPr>
          <w:trHeight w:val="389"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8C7B39">
            <w:pPr>
              <w:pStyle w:val="179"/>
              <w:rPr>
                <w:rFonts w:hint="eastAsia"/>
                <w:color w:val="auto"/>
                <w:highlight w:val="none"/>
              </w:rPr>
            </w:pPr>
            <w:r>
              <w:rPr>
                <w:rFonts w:hint="eastAsia"/>
                <w:color w:val="auto"/>
                <w:highlight w:val="none"/>
              </w:rPr>
              <w:t>7</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5FD1BF3">
            <w:pPr>
              <w:pStyle w:val="179"/>
              <w:ind w:firstLine="0" w:firstLineChars="0"/>
              <w:rPr>
                <w:rFonts w:hint="eastAsia"/>
                <w:color w:val="auto"/>
                <w:highlight w:val="none"/>
              </w:rPr>
            </w:pPr>
            <w:r>
              <w:rPr>
                <w:rFonts w:hint="eastAsia"/>
                <w:color w:val="auto"/>
                <w:highlight w:val="none"/>
              </w:rPr>
              <w:t>普通一次性防护服</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9CBF1E">
            <w:pPr>
              <w:pStyle w:val="179"/>
              <w:rPr>
                <w:rFonts w:hint="eastAsia"/>
                <w:color w:val="auto"/>
                <w:highlight w:val="none"/>
              </w:rPr>
            </w:pPr>
            <w:r>
              <w:rPr>
                <w:rFonts w:hint="eastAsia"/>
                <w:color w:val="auto"/>
                <w:highlight w:val="none"/>
              </w:rPr>
              <w:t>高处作业、动土作业、有限空间作业、吊装作业、</w:t>
            </w: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14:paraId="6C3ED6D8">
            <w:pPr>
              <w:pStyle w:val="179"/>
              <w:rPr>
                <w:rFonts w:hint="eastAsia"/>
                <w:color w:val="auto"/>
                <w:highlight w:val="none"/>
              </w:rPr>
            </w:pP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762565D">
            <w:pPr>
              <w:pStyle w:val="179"/>
              <w:rPr>
                <w:rFonts w:hint="eastAsia"/>
                <w:color w:val="auto"/>
                <w:highlight w:val="none"/>
              </w:rPr>
            </w:pPr>
            <w:r>
              <w:rPr>
                <w:rFonts w:hint="eastAsia"/>
                <w:color w:val="auto"/>
                <w:highlight w:val="none"/>
              </w:rPr>
              <w:t>日常防护身体</w:t>
            </w:r>
          </w:p>
        </w:tc>
      </w:tr>
      <w:tr w14:paraId="6B540319">
        <w:tblPrEx>
          <w:tblCellMar>
            <w:top w:w="0" w:type="dxa"/>
            <w:left w:w="0" w:type="dxa"/>
            <w:bottom w:w="0" w:type="dxa"/>
            <w:right w:w="0" w:type="dxa"/>
          </w:tblCellMar>
        </w:tblPrEx>
        <w:trPr>
          <w:trHeight w:val="546"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8D2C7A">
            <w:pPr>
              <w:pStyle w:val="179"/>
              <w:rPr>
                <w:rFonts w:hint="eastAsia"/>
                <w:color w:val="auto"/>
                <w:highlight w:val="none"/>
              </w:rPr>
            </w:pPr>
            <w:r>
              <w:rPr>
                <w:rFonts w:hint="eastAsia"/>
                <w:color w:val="auto"/>
                <w:highlight w:val="none"/>
              </w:rPr>
              <w:t>8</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714E55">
            <w:pPr>
              <w:pStyle w:val="179"/>
              <w:ind w:firstLine="0" w:firstLineChars="0"/>
              <w:rPr>
                <w:rFonts w:hint="eastAsia"/>
                <w:color w:val="auto"/>
                <w:highlight w:val="none"/>
              </w:rPr>
            </w:pPr>
            <w:r>
              <w:rPr>
                <w:rFonts w:hint="eastAsia"/>
                <w:color w:val="auto"/>
                <w:highlight w:val="none"/>
              </w:rPr>
              <w:t>防热伤害手套</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B725C5">
            <w:pPr>
              <w:pStyle w:val="179"/>
              <w:rPr>
                <w:rFonts w:hint="eastAsia"/>
                <w:color w:val="auto"/>
                <w:highlight w:val="none"/>
              </w:rPr>
            </w:pPr>
            <w:r>
              <w:rPr>
                <w:rFonts w:hint="eastAsia"/>
                <w:color w:val="auto"/>
                <w:highlight w:val="none"/>
              </w:rPr>
              <w:t>有限空间作业、动土作业</w:t>
            </w:r>
          </w:p>
        </w:tc>
        <w:tc>
          <w:tcPr>
            <w:tcW w:w="393" w:type="pct"/>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76E779">
            <w:pPr>
              <w:pStyle w:val="179"/>
              <w:rPr>
                <w:rFonts w:hint="eastAsia"/>
                <w:color w:val="auto"/>
                <w:highlight w:val="none"/>
              </w:rPr>
            </w:pPr>
            <w:r>
              <w:rPr>
                <w:rFonts w:hint="eastAsia"/>
                <w:color w:val="auto"/>
                <w:highlight w:val="none"/>
              </w:rPr>
              <w:t>手部防护</w:t>
            </w: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AFA80D">
            <w:pPr>
              <w:pStyle w:val="179"/>
              <w:rPr>
                <w:rFonts w:hint="eastAsia"/>
                <w:color w:val="auto"/>
                <w:highlight w:val="none"/>
              </w:rPr>
            </w:pPr>
            <w:r>
              <w:rPr>
                <w:rFonts w:hint="eastAsia"/>
                <w:color w:val="auto"/>
                <w:highlight w:val="none"/>
              </w:rPr>
              <w:t>防护火焰、接触热、对流热、辐射热、少量熔融金属飞溅或大量熔融金属泼溅等多种形式热伤害对手的伤害</w:t>
            </w:r>
          </w:p>
        </w:tc>
      </w:tr>
      <w:tr w14:paraId="6B1A5F71">
        <w:tblPrEx>
          <w:tblCellMar>
            <w:top w:w="0" w:type="dxa"/>
            <w:left w:w="0" w:type="dxa"/>
            <w:bottom w:w="0" w:type="dxa"/>
            <w:right w:w="0" w:type="dxa"/>
          </w:tblCellMar>
        </w:tblPrEx>
        <w:trPr>
          <w:trHeight w:val="470"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FF4323">
            <w:pPr>
              <w:pStyle w:val="179"/>
              <w:rPr>
                <w:rFonts w:hint="eastAsia"/>
                <w:color w:val="auto"/>
                <w:highlight w:val="none"/>
              </w:rPr>
            </w:pPr>
            <w:r>
              <w:rPr>
                <w:rFonts w:hint="eastAsia"/>
                <w:color w:val="auto"/>
                <w:highlight w:val="none"/>
              </w:rPr>
              <w:t>9</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07FD2F">
            <w:pPr>
              <w:pStyle w:val="179"/>
              <w:ind w:firstLine="0" w:firstLineChars="0"/>
              <w:rPr>
                <w:rFonts w:hint="eastAsia"/>
                <w:color w:val="auto"/>
                <w:highlight w:val="none"/>
              </w:rPr>
            </w:pPr>
            <w:r>
              <w:rPr>
                <w:rFonts w:hint="eastAsia"/>
                <w:color w:val="auto"/>
                <w:highlight w:val="none"/>
              </w:rPr>
              <w:t>带电作业用绝缘手套</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E396B82">
            <w:pPr>
              <w:pStyle w:val="179"/>
              <w:rPr>
                <w:rFonts w:hint="eastAsia"/>
                <w:color w:val="auto"/>
                <w:highlight w:val="none"/>
              </w:rPr>
            </w:pPr>
            <w:r>
              <w:rPr>
                <w:rFonts w:hint="eastAsia"/>
                <w:color w:val="auto"/>
                <w:highlight w:val="none"/>
              </w:rPr>
              <w:t>临时用电作业</w:t>
            </w: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14:paraId="6019E259">
            <w:pPr>
              <w:pStyle w:val="179"/>
              <w:rPr>
                <w:rFonts w:hint="eastAsia"/>
                <w:color w:val="auto"/>
                <w:highlight w:val="none"/>
              </w:rPr>
            </w:pP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544D35">
            <w:pPr>
              <w:pStyle w:val="179"/>
              <w:rPr>
                <w:rFonts w:hint="eastAsia"/>
                <w:color w:val="auto"/>
                <w:highlight w:val="none"/>
              </w:rPr>
            </w:pPr>
            <w:r>
              <w:rPr>
                <w:rFonts w:hint="eastAsia"/>
                <w:color w:val="auto"/>
                <w:highlight w:val="none"/>
              </w:rPr>
              <w:t>防护带电物体经手对人体的伤害</w:t>
            </w:r>
          </w:p>
        </w:tc>
      </w:tr>
      <w:tr w14:paraId="70B13B7A">
        <w:tblPrEx>
          <w:tblCellMar>
            <w:top w:w="0" w:type="dxa"/>
            <w:left w:w="0" w:type="dxa"/>
            <w:bottom w:w="0" w:type="dxa"/>
            <w:right w:w="0" w:type="dxa"/>
          </w:tblCellMar>
        </w:tblPrEx>
        <w:trPr>
          <w:trHeight w:val="382"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9893381">
            <w:pPr>
              <w:pStyle w:val="179"/>
              <w:rPr>
                <w:rFonts w:hint="eastAsia"/>
                <w:color w:val="auto"/>
                <w:highlight w:val="none"/>
              </w:rPr>
            </w:pPr>
            <w:r>
              <w:rPr>
                <w:rFonts w:hint="eastAsia"/>
                <w:color w:val="auto"/>
                <w:highlight w:val="none"/>
              </w:rPr>
              <w:t>10</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8081FC">
            <w:pPr>
              <w:pStyle w:val="179"/>
              <w:ind w:firstLine="0" w:firstLineChars="0"/>
              <w:rPr>
                <w:rFonts w:hint="eastAsia"/>
                <w:color w:val="auto"/>
                <w:highlight w:val="none"/>
              </w:rPr>
            </w:pPr>
            <w:r>
              <w:rPr>
                <w:rFonts w:hint="eastAsia"/>
                <w:color w:val="auto"/>
                <w:highlight w:val="none"/>
              </w:rPr>
              <w:t>焊工防护手套</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45341E">
            <w:pPr>
              <w:pStyle w:val="179"/>
              <w:rPr>
                <w:rFonts w:hint="eastAsia"/>
                <w:color w:val="auto"/>
                <w:highlight w:val="none"/>
              </w:rPr>
            </w:pPr>
            <w:r>
              <w:rPr>
                <w:rFonts w:hint="eastAsia"/>
                <w:color w:val="auto"/>
                <w:highlight w:val="none"/>
              </w:rPr>
              <w:t>动火作业</w:t>
            </w: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14:paraId="33E00A0F">
            <w:pPr>
              <w:pStyle w:val="179"/>
              <w:rPr>
                <w:rFonts w:hint="eastAsia"/>
                <w:color w:val="auto"/>
                <w:highlight w:val="none"/>
              </w:rPr>
            </w:pP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AA0A242">
            <w:pPr>
              <w:pStyle w:val="179"/>
              <w:rPr>
                <w:rFonts w:hint="eastAsia"/>
                <w:color w:val="auto"/>
                <w:highlight w:val="none"/>
              </w:rPr>
            </w:pPr>
            <w:r>
              <w:rPr>
                <w:rFonts w:hint="eastAsia"/>
                <w:color w:val="auto"/>
                <w:highlight w:val="none"/>
              </w:rPr>
              <w:t>防护熔融金属滴、短时接触有限的火焰、对流热、热传导和弧光的紫外线辐射以及机械对手部和腕部的伤害</w:t>
            </w:r>
          </w:p>
        </w:tc>
      </w:tr>
      <w:tr w14:paraId="5A87D81D">
        <w:tblPrEx>
          <w:tblCellMar>
            <w:top w:w="0" w:type="dxa"/>
            <w:left w:w="0" w:type="dxa"/>
            <w:bottom w:w="0" w:type="dxa"/>
            <w:right w:w="0" w:type="dxa"/>
          </w:tblCellMar>
        </w:tblPrEx>
        <w:trPr>
          <w:trHeight w:val="455"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313A938">
            <w:pPr>
              <w:pStyle w:val="179"/>
              <w:rPr>
                <w:rFonts w:hint="eastAsia"/>
                <w:color w:val="auto"/>
                <w:highlight w:val="none"/>
              </w:rPr>
            </w:pPr>
            <w:r>
              <w:rPr>
                <w:rFonts w:hint="eastAsia"/>
                <w:color w:val="auto"/>
                <w:highlight w:val="none"/>
              </w:rPr>
              <w:t>11</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7B435B7">
            <w:pPr>
              <w:pStyle w:val="179"/>
              <w:ind w:firstLine="0" w:firstLineChars="0"/>
              <w:rPr>
                <w:rFonts w:hint="eastAsia"/>
                <w:color w:val="auto"/>
                <w:highlight w:val="none"/>
              </w:rPr>
            </w:pPr>
            <w:r>
              <w:rPr>
                <w:rFonts w:hint="eastAsia"/>
                <w:color w:val="auto"/>
                <w:highlight w:val="none"/>
              </w:rPr>
              <w:t>安全鞋</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9BC13">
            <w:pPr>
              <w:pStyle w:val="179"/>
              <w:rPr>
                <w:rFonts w:hint="eastAsia"/>
                <w:color w:val="auto"/>
                <w:highlight w:val="none"/>
              </w:rPr>
            </w:pPr>
            <w:r>
              <w:rPr>
                <w:rFonts w:hint="eastAsia"/>
                <w:color w:val="auto"/>
                <w:highlight w:val="none"/>
              </w:rPr>
              <w:t>高处作业、动土作业、有限空间作业、吊装作业、动火作业</w:t>
            </w:r>
          </w:p>
        </w:tc>
        <w:tc>
          <w:tcPr>
            <w:tcW w:w="393" w:type="pct"/>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77B50B3">
            <w:pPr>
              <w:pStyle w:val="179"/>
              <w:rPr>
                <w:rFonts w:hint="eastAsia"/>
                <w:color w:val="auto"/>
                <w:highlight w:val="none"/>
              </w:rPr>
            </w:pPr>
            <w:r>
              <w:rPr>
                <w:rFonts w:hint="eastAsia"/>
                <w:color w:val="auto"/>
                <w:highlight w:val="none"/>
              </w:rPr>
              <w:t>足部防护</w:t>
            </w: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1E92551">
            <w:pPr>
              <w:pStyle w:val="179"/>
              <w:rPr>
                <w:rFonts w:hint="eastAsia"/>
                <w:color w:val="auto"/>
                <w:highlight w:val="none"/>
              </w:rPr>
            </w:pPr>
            <w:r>
              <w:rPr>
                <w:rFonts w:hint="eastAsia"/>
                <w:color w:val="auto"/>
                <w:highlight w:val="none"/>
              </w:rPr>
              <w:t>防护物体或者其他可预见的对脚部及腿部的伤害</w:t>
            </w:r>
          </w:p>
        </w:tc>
      </w:tr>
      <w:tr w14:paraId="3FCF8CE3">
        <w:tblPrEx>
          <w:tblCellMar>
            <w:top w:w="0" w:type="dxa"/>
            <w:left w:w="0" w:type="dxa"/>
            <w:bottom w:w="0" w:type="dxa"/>
            <w:right w:w="0" w:type="dxa"/>
          </w:tblCellMar>
        </w:tblPrEx>
        <w:trPr>
          <w:trHeight w:val="403"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793C0DE">
            <w:pPr>
              <w:pStyle w:val="179"/>
              <w:rPr>
                <w:rFonts w:hint="eastAsia"/>
                <w:color w:val="auto"/>
                <w:highlight w:val="none"/>
              </w:rPr>
            </w:pPr>
            <w:r>
              <w:rPr>
                <w:rFonts w:hint="eastAsia"/>
                <w:color w:val="auto"/>
                <w:highlight w:val="none"/>
              </w:rPr>
              <w:t>12</w:t>
            </w:r>
          </w:p>
        </w:tc>
        <w:tc>
          <w:tcPr>
            <w:tcW w:w="20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EEA9B36">
            <w:pPr>
              <w:pStyle w:val="179"/>
              <w:ind w:firstLine="0" w:firstLineChars="0"/>
              <w:rPr>
                <w:rFonts w:hint="eastAsia"/>
                <w:color w:val="auto"/>
                <w:highlight w:val="none"/>
              </w:rPr>
            </w:pPr>
            <w:r>
              <w:rPr>
                <w:rFonts w:hint="eastAsia"/>
                <w:color w:val="auto"/>
                <w:highlight w:val="none"/>
              </w:rPr>
              <w:t>防烫靴</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790A7E">
            <w:pPr>
              <w:pStyle w:val="179"/>
              <w:rPr>
                <w:rFonts w:hint="eastAsia"/>
                <w:color w:val="auto"/>
                <w:highlight w:val="none"/>
              </w:rPr>
            </w:pPr>
            <w:r>
              <w:rPr>
                <w:rFonts w:hint="eastAsia"/>
                <w:color w:val="auto"/>
                <w:highlight w:val="none"/>
              </w:rPr>
              <w:t>有限空间作业、动土作业</w:t>
            </w: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14:paraId="160FBAF1">
            <w:pPr>
              <w:pStyle w:val="179"/>
              <w:rPr>
                <w:rFonts w:hint="eastAsia"/>
                <w:color w:val="auto"/>
                <w:highlight w:val="none"/>
              </w:rPr>
            </w:pP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7F867D">
            <w:pPr>
              <w:pStyle w:val="179"/>
              <w:rPr>
                <w:rFonts w:hint="eastAsia"/>
                <w:color w:val="auto"/>
                <w:highlight w:val="none"/>
              </w:rPr>
            </w:pPr>
            <w:r>
              <w:rPr>
                <w:rFonts w:hint="eastAsia"/>
                <w:color w:val="auto"/>
                <w:highlight w:val="none"/>
              </w:rPr>
              <w:t>防护高温对脚部及腿部的伤害</w:t>
            </w:r>
          </w:p>
        </w:tc>
      </w:tr>
      <w:tr w14:paraId="4E695F85">
        <w:tblPrEx>
          <w:tblCellMar>
            <w:top w:w="0" w:type="dxa"/>
            <w:left w:w="0" w:type="dxa"/>
            <w:bottom w:w="0" w:type="dxa"/>
            <w:right w:w="0" w:type="dxa"/>
          </w:tblCellMar>
        </w:tblPrEx>
        <w:trPr>
          <w:trHeight w:val="363"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3093D5">
            <w:pPr>
              <w:pStyle w:val="179"/>
              <w:rPr>
                <w:rFonts w:hint="eastAsia"/>
                <w:color w:val="auto"/>
                <w:highlight w:val="none"/>
              </w:rPr>
            </w:pPr>
            <w:r>
              <w:rPr>
                <w:rFonts w:hint="eastAsia"/>
                <w:color w:val="auto"/>
                <w:highlight w:val="none"/>
              </w:rPr>
              <w:t>13</w:t>
            </w:r>
          </w:p>
        </w:tc>
        <w:tc>
          <w:tcPr>
            <w:tcW w:w="20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6F021">
            <w:pPr>
              <w:pStyle w:val="179"/>
              <w:ind w:firstLine="0" w:firstLineChars="0"/>
              <w:rPr>
                <w:rFonts w:hint="eastAsia"/>
                <w:color w:val="auto"/>
                <w:highlight w:val="none"/>
              </w:rPr>
            </w:pPr>
            <w:r>
              <w:rPr>
                <w:rFonts w:hint="eastAsia"/>
                <w:color w:val="auto"/>
                <w:highlight w:val="none"/>
              </w:rPr>
              <w:t>绝缘靴</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348E90">
            <w:pPr>
              <w:pStyle w:val="179"/>
              <w:rPr>
                <w:rFonts w:hint="eastAsia"/>
                <w:color w:val="auto"/>
                <w:highlight w:val="none"/>
              </w:rPr>
            </w:pPr>
            <w:r>
              <w:rPr>
                <w:rFonts w:hint="eastAsia"/>
                <w:color w:val="auto"/>
                <w:highlight w:val="none"/>
              </w:rPr>
              <w:t>临时用电作业</w:t>
            </w: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14:paraId="7DE06D77">
            <w:pPr>
              <w:pStyle w:val="179"/>
              <w:rPr>
                <w:rFonts w:hint="eastAsia"/>
                <w:color w:val="auto"/>
                <w:highlight w:val="none"/>
              </w:rPr>
            </w:pP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3DE93D1">
            <w:pPr>
              <w:pStyle w:val="179"/>
              <w:rPr>
                <w:rFonts w:hint="eastAsia"/>
                <w:color w:val="auto"/>
                <w:highlight w:val="none"/>
              </w:rPr>
            </w:pPr>
            <w:r>
              <w:rPr>
                <w:rFonts w:hint="eastAsia"/>
                <w:color w:val="auto"/>
                <w:highlight w:val="none"/>
              </w:rPr>
              <w:t>用于人体与地面的绝缘，防止跨步电压和接触电压的伤害</w:t>
            </w:r>
          </w:p>
        </w:tc>
      </w:tr>
      <w:tr w14:paraId="3E493AAB">
        <w:tblPrEx>
          <w:tblCellMar>
            <w:top w:w="0" w:type="dxa"/>
            <w:left w:w="0" w:type="dxa"/>
            <w:bottom w:w="0" w:type="dxa"/>
            <w:right w:w="0" w:type="dxa"/>
          </w:tblCellMar>
        </w:tblPrEx>
        <w:trPr>
          <w:trHeight w:val="356"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CA7EA8C">
            <w:pPr>
              <w:pStyle w:val="179"/>
              <w:rPr>
                <w:rFonts w:hint="eastAsia"/>
                <w:color w:val="auto"/>
                <w:highlight w:val="none"/>
              </w:rPr>
            </w:pPr>
            <w:r>
              <w:rPr>
                <w:rFonts w:hint="eastAsia"/>
                <w:color w:val="auto"/>
                <w:highlight w:val="none"/>
              </w:rPr>
              <w:t>14</w:t>
            </w:r>
          </w:p>
        </w:tc>
        <w:tc>
          <w:tcPr>
            <w:tcW w:w="20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44C80D">
            <w:pPr>
              <w:pStyle w:val="179"/>
              <w:ind w:firstLine="0" w:firstLineChars="0"/>
              <w:rPr>
                <w:rFonts w:hint="eastAsia"/>
                <w:color w:val="auto"/>
                <w:highlight w:val="none"/>
              </w:rPr>
            </w:pPr>
            <w:r>
              <w:rPr>
                <w:rFonts w:hint="eastAsia"/>
                <w:color w:val="auto"/>
                <w:highlight w:val="none"/>
              </w:rPr>
              <w:t>安全带</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8E18D44">
            <w:pPr>
              <w:pStyle w:val="179"/>
              <w:rPr>
                <w:rFonts w:hint="eastAsia"/>
                <w:color w:val="auto"/>
                <w:highlight w:val="none"/>
              </w:rPr>
            </w:pPr>
            <w:r>
              <w:rPr>
                <w:rFonts w:hint="eastAsia"/>
                <w:color w:val="auto"/>
                <w:highlight w:val="none"/>
              </w:rPr>
              <w:t>高处作业、有限空间作业</w:t>
            </w:r>
          </w:p>
        </w:tc>
        <w:tc>
          <w:tcPr>
            <w:tcW w:w="393" w:type="pct"/>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4D6B83">
            <w:pPr>
              <w:pStyle w:val="179"/>
              <w:rPr>
                <w:rFonts w:hint="eastAsia"/>
                <w:color w:val="auto"/>
                <w:highlight w:val="none"/>
              </w:rPr>
            </w:pPr>
            <w:r>
              <w:rPr>
                <w:rFonts w:hint="eastAsia"/>
                <w:color w:val="auto"/>
                <w:highlight w:val="none"/>
              </w:rPr>
              <w:t>防坠防护</w:t>
            </w: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F15EE3">
            <w:pPr>
              <w:pStyle w:val="179"/>
              <w:rPr>
                <w:rFonts w:hint="eastAsia"/>
                <w:color w:val="auto"/>
                <w:highlight w:val="none"/>
              </w:rPr>
            </w:pPr>
            <w:r>
              <w:rPr>
                <w:rFonts w:hint="eastAsia"/>
                <w:color w:val="auto"/>
                <w:highlight w:val="none"/>
              </w:rPr>
              <w:t>防止高处坠落</w:t>
            </w:r>
          </w:p>
        </w:tc>
      </w:tr>
      <w:tr w14:paraId="1EF1410E">
        <w:tblPrEx>
          <w:tblCellMar>
            <w:top w:w="0" w:type="dxa"/>
            <w:left w:w="0" w:type="dxa"/>
            <w:bottom w:w="0" w:type="dxa"/>
            <w:right w:w="0" w:type="dxa"/>
          </w:tblCellMar>
        </w:tblPrEx>
        <w:trPr>
          <w:trHeight w:val="405" w:hRule="atLeast"/>
        </w:trPr>
        <w:tc>
          <w:tcPr>
            <w:tcW w:w="198"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57EF8BE">
            <w:pPr>
              <w:pStyle w:val="179"/>
              <w:rPr>
                <w:rFonts w:hint="eastAsia"/>
                <w:color w:val="auto"/>
                <w:highlight w:val="none"/>
              </w:rPr>
            </w:pPr>
            <w:r>
              <w:rPr>
                <w:rFonts w:hint="eastAsia"/>
                <w:color w:val="auto"/>
                <w:highlight w:val="none"/>
              </w:rPr>
              <w:t>15</w:t>
            </w:r>
          </w:p>
        </w:tc>
        <w:tc>
          <w:tcPr>
            <w:tcW w:w="204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439DD9">
            <w:pPr>
              <w:pStyle w:val="179"/>
              <w:ind w:firstLine="0" w:firstLineChars="0"/>
              <w:rPr>
                <w:rFonts w:hint="eastAsia"/>
                <w:color w:val="auto"/>
                <w:highlight w:val="none"/>
              </w:rPr>
            </w:pPr>
            <w:r>
              <w:rPr>
                <w:rFonts w:hint="eastAsia"/>
                <w:color w:val="auto"/>
                <w:highlight w:val="none"/>
              </w:rPr>
              <w:t>安全绳</w:t>
            </w:r>
          </w:p>
        </w:tc>
        <w:tc>
          <w:tcPr>
            <w:tcW w:w="1187"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EAC7409">
            <w:pPr>
              <w:pStyle w:val="179"/>
              <w:rPr>
                <w:rFonts w:hint="eastAsia"/>
                <w:color w:val="auto"/>
                <w:highlight w:val="none"/>
              </w:rPr>
            </w:pPr>
            <w:r>
              <w:rPr>
                <w:rFonts w:hint="eastAsia"/>
                <w:color w:val="auto"/>
                <w:highlight w:val="none"/>
              </w:rPr>
              <w:t>高处作业、有限空间作业</w:t>
            </w: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14:paraId="79CD1704">
            <w:pPr>
              <w:pStyle w:val="179"/>
              <w:rPr>
                <w:rFonts w:hint="eastAsia"/>
                <w:color w:val="auto"/>
                <w:highlight w:val="none"/>
              </w:rPr>
            </w:pPr>
          </w:p>
        </w:tc>
        <w:tc>
          <w:tcPr>
            <w:tcW w:w="2032" w:type="pc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930877F">
            <w:pPr>
              <w:pStyle w:val="179"/>
              <w:rPr>
                <w:rFonts w:hint="eastAsia"/>
                <w:color w:val="auto"/>
                <w:highlight w:val="none"/>
              </w:rPr>
            </w:pPr>
            <w:r>
              <w:rPr>
                <w:rFonts w:hint="eastAsia"/>
                <w:color w:val="auto"/>
                <w:highlight w:val="none"/>
              </w:rPr>
              <w:t>防止高处坠落</w:t>
            </w:r>
          </w:p>
        </w:tc>
      </w:tr>
    </w:tbl>
    <w:p w14:paraId="052927AA">
      <w:pPr>
        <w:pStyle w:val="66"/>
        <w:spacing w:before="120" w:after="120"/>
        <w:rPr>
          <w:rFonts w:hint="eastAsia"/>
          <w:color w:val="auto"/>
          <w:highlight w:val="none"/>
        </w:rPr>
      </w:pPr>
      <w:r>
        <w:rPr>
          <w:rFonts w:hint="eastAsia"/>
          <w:color w:val="auto"/>
          <w:highlight w:val="none"/>
        </w:rPr>
        <w:t>环境防护</w:t>
      </w:r>
      <w:r>
        <w:rPr>
          <w:rFonts w:hint="eastAsia"/>
          <w:color w:val="auto"/>
          <w:highlight w:val="none"/>
          <w:lang w:val="en-US" w:eastAsia="zh-CN"/>
        </w:rPr>
        <w:t>措施</w:t>
      </w:r>
    </w:p>
    <w:p w14:paraId="2454CB22">
      <w:pPr>
        <w:pStyle w:val="165"/>
        <w:rPr>
          <w:rFonts w:hint="default"/>
          <w:lang w:val="en-US" w:eastAsia="zh-CN"/>
        </w:rPr>
      </w:pPr>
      <w:r>
        <w:rPr>
          <w:rFonts w:hint="default"/>
          <w:lang w:val="en-US" w:eastAsia="zh-CN"/>
        </w:rPr>
        <w:t>扬尘控制应符合以下规定：</w:t>
      </w:r>
    </w:p>
    <w:p w14:paraId="0EFEC08C">
      <w:pPr>
        <w:pStyle w:val="133"/>
        <w:rPr>
          <w:rFonts w:hint="default"/>
          <w:lang w:val="en-US" w:eastAsia="zh-CN"/>
        </w:rPr>
      </w:pPr>
      <w:r>
        <w:rPr>
          <w:rFonts w:hint="default"/>
          <w:lang w:val="en-US" w:eastAsia="zh-CN"/>
        </w:rPr>
        <w:t>裸露物料与土方覆盖：施工现场的易扬尘物料（如土方、砂石、水泥）堆场及裸露场地，</w:t>
      </w:r>
      <w:r>
        <w:rPr>
          <w:rFonts w:hint="eastAsia"/>
          <w:lang w:val="en-US" w:eastAsia="zh-CN"/>
        </w:rPr>
        <w:t>应</w:t>
      </w:r>
      <w:r>
        <w:rPr>
          <w:rFonts w:hint="default"/>
          <w:lang w:val="en-US" w:eastAsia="zh-CN"/>
        </w:rPr>
        <w:t>使用不低于1000目/100 cm²的密目网进行完全覆盖，并压实固定。</w:t>
      </w:r>
    </w:p>
    <w:p w14:paraId="4730EC92">
      <w:pPr>
        <w:pStyle w:val="133"/>
        <w:rPr>
          <w:rFonts w:hint="default"/>
          <w:lang w:val="en-US" w:eastAsia="zh-CN"/>
        </w:rPr>
      </w:pPr>
      <w:r>
        <w:rPr>
          <w:rFonts w:hint="default"/>
          <w:lang w:val="en-US" w:eastAsia="zh-CN"/>
        </w:rPr>
        <w:t>湿法作业：土方开挖、回填、转运等作业时，</w:t>
      </w:r>
      <w:r>
        <w:rPr>
          <w:rFonts w:hint="eastAsia"/>
          <w:lang w:val="en-US" w:eastAsia="zh-CN"/>
        </w:rPr>
        <w:t>应</w:t>
      </w:r>
      <w:r>
        <w:rPr>
          <w:rFonts w:hint="default"/>
          <w:lang w:val="en-US" w:eastAsia="zh-CN"/>
        </w:rPr>
        <w:t>辅以洒水、雾炮等降尘措施。作业区域应配备雾炮机等移动式降尘设备。</w:t>
      </w:r>
    </w:p>
    <w:p w14:paraId="6CA8324C">
      <w:pPr>
        <w:pStyle w:val="133"/>
        <w:rPr>
          <w:rFonts w:hint="default"/>
          <w:lang w:val="en-US" w:eastAsia="zh-CN"/>
        </w:rPr>
      </w:pPr>
      <w:r>
        <w:rPr>
          <w:rFonts w:hint="default"/>
          <w:lang w:val="en-US" w:eastAsia="zh-CN"/>
        </w:rPr>
        <w:t>车辆冲洗：运输车辆驶离施工现场前，</w:t>
      </w:r>
      <w:r>
        <w:rPr>
          <w:rFonts w:hint="eastAsia"/>
          <w:lang w:val="en-US" w:eastAsia="zh-CN"/>
        </w:rPr>
        <w:t>应</w:t>
      </w:r>
      <w:r>
        <w:rPr>
          <w:rFonts w:hint="default"/>
          <w:lang w:val="en-US" w:eastAsia="zh-CN"/>
        </w:rPr>
        <w:t>在专门设置的洗车槽或冲洗平台进行彻底冲洗，确保车轮、车身不带泥上路。</w:t>
      </w:r>
    </w:p>
    <w:p w14:paraId="30787463">
      <w:pPr>
        <w:pStyle w:val="165"/>
        <w:rPr>
          <w:rFonts w:hint="default"/>
          <w:lang w:val="en-US" w:eastAsia="zh-CN"/>
        </w:rPr>
      </w:pPr>
      <w:r>
        <w:rPr>
          <w:rFonts w:hint="default"/>
          <w:lang w:val="en-US" w:eastAsia="zh-CN"/>
        </w:rPr>
        <w:t>进行焊接、切割等产生烟尘的作业时，</w:t>
      </w:r>
      <w:r>
        <w:rPr>
          <w:rFonts w:hint="eastAsia"/>
          <w:lang w:val="en-US" w:eastAsia="zh-CN"/>
        </w:rPr>
        <w:t>应</w:t>
      </w:r>
      <w:r>
        <w:rPr>
          <w:rFonts w:hint="default"/>
          <w:lang w:val="en-US" w:eastAsia="zh-CN"/>
        </w:rPr>
        <w:t>使用焊烟净化器。净化器的过滤效率不应低于99%，并应定期清理集尘装置，确保设备处于有效工作状态。</w:t>
      </w:r>
    </w:p>
    <w:p w14:paraId="6846C74D">
      <w:pPr>
        <w:pStyle w:val="165"/>
        <w:rPr>
          <w:rFonts w:hint="default"/>
          <w:lang w:val="en-US" w:eastAsia="zh-CN"/>
        </w:rPr>
      </w:pPr>
      <w:r>
        <w:rPr>
          <w:rFonts w:hint="default"/>
          <w:lang w:val="en-US" w:eastAsia="zh-CN"/>
        </w:rPr>
        <w:t>施工噪声控制应符合以下规定：</w:t>
      </w:r>
    </w:p>
    <w:p w14:paraId="14F84084">
      <w:pPr>
        <w:pStyle w:val="133"/>
        <w:rPr>
          <w:rFonts w:hint="default"/>
          <w:lang w:val="en-US" w:eastAsia="zh-CN"/>
        </w:rPr>
      </w:pPr>
      <w:r>
        <w:rPr>
          <w:rFonts w:hint="default"/>
          <w:lang w:val="en-US" w:eastAsia="zh-CN"/>
        </w:rPr>
        <w:t>应选用低噪声的施工工艺和设备</w:t>
      </w:r>
      <w:r>
        <w:rPr>
          <w:rFonts w:hint="eastAsia"/>
          <w:lang w:val="en-US" w:eastAsia="zh-CN"/>
        </w:rPr>
        <w:t>；</w:t>
      </w:r>
      <w:r>
        <w:rPr>
          <w:rFonts w:hint="default"/>
          <w:lang w:val="en-US" w:eastAsia="zh-CN"/>
        </w:rPr>
        <w:t>靠近居民区的施工区段，宜设置移动式降噪防尘罩棚。</w:t>
      </w:r>
    </w:p>
    <w:p w14:paraId="72B955DD">
      <w:pPr>
        <w:pStyle w:val="133"/>
        <w:rPr>
          <w:rFonts w:hint="default"/>
          <w:lang w:val="en-US" w:eastAsia="zh-CN"/>
        </w:rPr>
      </w:pPr>
      <w:r>
        <w:rPr>
          <w:rFonts w:hint="default"/>
          <w:lang w:val="en-US" w:eastAsia="zh-CN"/>
        </w:rPr>
        <w:t>施工场界噪声排放应符合国家及地方相关标准</w:t>
      </w:r>
      <w:r>
        <w:rPr>
          <w:rFonts w:hint="eastAsia"/>
          <w:lang w:val="en-US" w:eastAsia="zh-CN"/>
        </w:rPr>
        <w:t>；</w:t>
      </w:r>
      <w:r>
        <w:rPr>
          <w:rFonts w:hint="default"/>
          <w:lang w:val="en-US" w:eastAsia="zh-CN"/>
        </w:rPr>
        <w:t>使用移动式降噪罩棚时，应将施工噪音控制在55 dB（A）以下。</w:t>
      </w:r>
    </w:p>
    <w:p w14:paraId="7AFC89A7">
      <w:pPr>
        <w:pStyle w:val="165"/>
        <w:rPr>
          <w:rFonts w:hint="default"/>
          <w:lang w:val="en-US" w:eastAsia="zh-CN"/>
        </w:rPr>
      </w:pPr>
      <w:r>
        <w:rPr>
          <w:rFonts w:hint="default"/>
          <w:lang w:val="en-US" w:eastAsia="zh-CN"/>
        </w:rPr>
        <w:t>进行建（构）筑物拆除、路面铣刨等易产生扬尘的作业时，</w:t>
      </w:r>
      <w:r>
        <w:rPr>
          <w:rFonts w:hint="eastAsia"/>
          <w:lang w:val="en-US" w:eastAsia="zh-CN"/>
        </w:rPr>
        <w:t>应</w:t>
      </w:r>
      <w:r>
        <w:rPr>
          <w:rFonts w:hint="default"/>
          <w:lang w:val="en-US" w:eastAsia="zh-CN"/>
        </w:rPr>
        <w:t>采取同步洒水、喷淋等压尘措施，防止扬尘扩散污染。</w:t>
      </w:r>
    </w:p>
    <w:p w14:paraId="2B304504">
      <w:pPr>
        <w:pStyle w:val="165"/>
        <w:rPr>
          <w:rFonts w:hint="default"/>
          <w:lang w:val="en-US" w:eastAsia="zh-CN"/>
        </w:rPr>
      </w:pPr>
      <w:r>
        <w:rPr>
          <w:rFonts w:hint="default"/>
          <w:lang w:val="en-US" w:eastAsia="zh-CN"/>
        </w:rPr>
        <w:t>气象部门发布大风蓝色及以上预警时，</w:t>
      </w:r>
      <w:r>
        <w:rPr>
          <w:rFonts w:hint="eastAsia"/>
          <w:lang w:val="en-US" w:eastAsia="zh-CN"/>
        </w:rPr>
        <w:t>应</w:t>
      </w:r>
      <w:r>
        <w:rPr>
          <w:rFonts w:hint="default"/>
          <w:lang w:val="en-US" w:eastAsia="zh-CN"/>
        </w:rPr>
        <w:t>停止开挖、回填等</w:t>
      </w:r>
      <w:r>
        <w:rPr>
          <w:rFonts w:hint="eastAsia"/>
          <w:lang w:val="en-US" w:eastAsia="zh-CN"/>
        </w:rPr>
        <w:t>土方</w:t>
      </w:r>
      <w:r>
        <w:rPr>
          <w:rFonts w:hint="default"/>
          <w:lang w:val="en-US" w:eastAsia="zh-CN"/>
        </w:rPr>
        <w:t>作业，并对施工现场所有裸露土面、易扬尘物料覆盖措施的牢固性进行全面检查与加固。</w:t>
      </w:r>
    </w:p>
    <w:p w14:paraId="7DAED370">
      <w:pPr>
        <w:pStyle w:val="165"/>
        <w:rPr>
          <w:rFonts w:hint="default"/>
          <w:lang w:val="en-US" w:eastAsia="zh-CN"/>
        </w:rPr>
      </w:pPr>
      <w:r>
        <w:rPr>
          <w:rFonts w:hint="default"/>
          <w:lang w:val="en-US" w:eastAsia="zh-CN"/>
        </w:rPr>
        <w:t>施工现场产生的废水、污水（如车辆冲洗水、养护水）应经沉淀、隔油等处理，未经处理</w:t>
      </w:r>
      <w:r>
        <w:rPr>
          <w:rFonts w:hint="eastAsia"/>
          <w:lang w:val="en-US" w:eastAsia="zh-CN"/>
        </w:rPr>
        <w:t>不应</w:t>
      </w:r>
      <w:r>
        <w:rPr>
          <w:rFonts w:hint="default"/>
          <w:lang w:val="en-US" w:eastAsia="zh-CN"/>
        </w:rPr>
        <w:t>直接排放。</w:t>
      </w:r>
    </w:p>
    <w:p w14:paraId="7EF3F18B">
      <w:pPr>
        <w:pStyle w:val="165"/>
        <w:rPr>
          <w:rFonts w:hint="eastAsia"/>
          <w:lang w:val="en-US" w:eastAsia="zh-CN"/>
        </w:rPr>
      </w:pPr>
      <w:r>
        <w:rPr>
          <w:rFonts w:hint="default"/>
          <w:lang w:val="en-US" w:eastAsia="zh-CN"/>
        </w:rPr>
        <w:t>施工单位应指定专人负责环境防护措施的日常巡查与维护，建立检查台账，发现问题立即整改，确保各项措施持续有效。</w:t>
      </w:r>
    </w:p>
    <w:p w14:paraId="4538A0D6">
      <w:pPr>
        <w:pStyle w:val="66"/>
        <w:spacing w:before="120" w:after="120"/>
        <w:rPr>
          <w:rFonts w:hint="default"/>
          <w:color w:val="auto"/>
          <w:highlight w:val="none"/>
          <w:lang w:val="en-US" w:eastAsia="zh-CN"/>
        </w:rPr>
      </w:pPr>
      <w:r>
        <w:rPr>
          <w:rFonts w:hint="eastAsia"/>
          <w:color w:val="auto"/>
          <w:highlight w:val="none"/>
        </w:rPr>
        <w:t>临边防护</w:t>
      </w:r>
    </w:p>
    <w:p w14:paraId="6812B483">
      <w:pPr>
        <w:pStyle w:val="165"/>
        <w:rPr>
          <w:rFonts w:hint="default"/>
          <w:highlight w:val="none"/>
          <w:lang w:val="en-US" w:eastAsia="zh-CN"/>
        </w:rPr>
      </w:pPr>
      <w:r>
        <w:rPr>
          <w:rFonts w:hint="default"/>
          <w:lang w:val="en-US" w:eastAsia="zh-CN"/>
        </w:rPr>
        <w:t>所有基坑、沟槽等临边作业场所，应在作业开始前设置安全防护设施，并应在整个施工期间保持其完好有效。</w:t>
      </w:r>
    </w:p>
    <w:p w14:paraId="6B705A5F">
      <w:pPr>
        <w:pStyle w:val="165"/>
        <w:rPr>
          <w:rFonts w:hint="default"/>
          <w:lang w:val="en-US" w:eastAsia="zh-CN"/>
        </w:rPr>
      </w:pPr>
      <w:r>
        <w:rPr>
          <w:rFonts w:hint="default"/>
          <w:highlight w:val="none"/>
          <w:lang w:val="en-US" w:eastAsia="zh-CN"/>
        </w:rPr>
        <w:t>防护栏杆宜采用统一制</w:t>
      </w:r>
      <w:r>
        <w:rPr>
          <w:rFonts w:hint="default"/>
          <w:color w:val="auto"/>
          <w:highlight w:val="none"/>
          <w:lang w:val="en-US" w:eastAsia="zh-CN"/>
        </w:rPr>
        <w:t>式，并</w:t>
      </w:r>
      <w:r>
        <w:rPr>
          <w:rFonts w:hint="eastAsia"/>
          <w:color w:val="auto"/>
          <w:highlight w:val="none"/>
          <w:lang w:val="en-US" w:eastAsia="zh-CN"/>
        </w:rPr>
        <w:t>按照GB2894要求</w:t>
      </w:r>
      <w:r>
        <w:rPr>
          <w:rFonts w:hint="default"/>
          <w:color w:val="auto"/>
          <w:highlight w:val="none"/>
          <w:lang w:val="en-US" w:eastAsia="zh-CN"/>
        </w:rPr>
        <w:t>涂刷</w:t>
      </w:r>
      <w:r>
        <w:rPr>
          <w:rFonts w:hint="eastAsia"/>
          <w:color w:val="auto"/>
          <w:highlight w:val="none"/>
          <w:lang w:val="en-US" w:eastAsia="zh-CN"/>
        </w:rPr>
        <w:t>黄黑</w:t>
      </w:r>
      <w:r>
        <w:rPr>
          <w:rFonts w:hint="default"/>
          <w:color w:val="auto"/>
          <w:highlight w:val="none"/>
          <w:lang w:val="en-US" w:eastAsia="zh-CN"/>
        </w:rPr>
        <w:t>相间</w:t>
      </w:r>
      <w:r>
        <w:rPr>
          <w:rFonts w:hint="eastAsia"/>
          <w:color w:val="auto"/>
          <w:highlight w:val="none"/>
          <w:lang w:val="en-US" w:eastAsia="zh-CN"/>
        </w:rPr>
        <w:t>安全标记，</w:t>
      </w:r>
      <w:r>
        <w:rPr>
          <w:rFonts w:hint="default"/>
          <w:color w:val="auto"/>
          <w:highlight w:val="none"/>
          <w:lang w:val="en-US" w:eastAsia="zh-CN"/>
        </w:rPr>
        <w:t>以起到显著警</w:t>
      </w:r>
      <w:r>
        <w:rPr>
          <w:rFonts w:hint="default"/>
          <w:color w:val="auto"/>
          <w:lang w:val="en-US" w:eastAsia="zh-CN"/>
        </w:rPr>
        <w:t>示作用</w:t>
      </w:r>
      <w:r>
        <w:rPr>
          <w:rFonts w:hint="eastAsia"/>
          <w:color w:val="auto"/>
          <w:lang w:val="en-US" w:eastAsia="zh-CN"/>
        </w:rPr>
        <w:t>，</w:t>
      </w:r>
      <w:r>
        <w:rPr>
          <w:rFonts w:hint="default"/>
          <w:color w:val="auto"/>
          <w:lang w:val="en-US" w:eastAsia="zh-CN"/>
        </w:rPr>
        <w:t>临边防护示意图参见附录</w:t>
      </w:r>
      <w:r>
        <w:rPr>
          <w:rFonts w:hint="eastAsia"/>
          <w:color w:val="auto"/>
          <w:lang w:val="en-US" w:eastAsia="zh-CN"/>
        </w:rPr>
        <w:t>F</w:t>
      </w:r>
      <w:r>
        <w:rPr>
          <w:rFonts w:hint="default"/>
          <w:color w:val="auto"/>
          <w:lang w:val="en-US" w:eastAsia="zh-CN"/>
        </w:rPr>
        <w:t>。临边防护栏杆</w:t>
      </w:r>
      <w:r>
        <w:rPr>
          <w:rFonts w:hint="eastAsia"/>
          <w:color w:val="auto"/>
          <w:lang w:val="en-US" w:eastAsia="zh-CN"/>
        </w:rPr>
        <w:t>还</w:t>
      </w:r>
      <w:r>
        <w:rPr>
          <w:rFonts w:hint="default"/>
          <w:color w:val="auto"/>
          <w:lang w:val="en-US" w:eastAsia="zh-CN"/>
        </w:rPr>
        <w:t>应满足以下要求：</w:t>
      </w:r>
    </w:p>
    <w:p w14:paraId="651464CC">
      <w:pPr>
        <w:pStyle w:val="133"/>
        <w:rPr>
          <w:rFonts w:hint="default"/>
          <w:lang w:val="en-US" w:eastAsia="zh-CN"/>
        </w:rPr>
      </w:pPr>
      <w:r>
        <w:rPr>
          <w:rFonts w:hint="default"/>
          <w:lang w:val="en-US" w:eastAsia="zh-CN"/>
        </w:rPr>
        <w:t>结构应稳固可靠，承受来自任何方向的荷载</w:t>
      </w:r>
      <w:r>
        <w:rPr>
          <w:rFonts w:hint="eastAsia"/>
          <w:lang w:val="en-US" w:eastAsia="zh-CN"/>
        </w:rPr>
        <w:t>能力满足GB 55001的要求</w:t>
      </w:r>
      <w:r>
        <w:rPr>
          <w:rFonts w:hint="default"/>
          <w:lang w:val="en-US" w:eastAsia="zh-CN"/>
        </w:rPr>
        <w:t>；</w:t>
      </w:r>
    </w:p>
    <w:p w14:paraId="4D64300D">
      <w:pPr>
        <w:pStyle w:val="133"/>
        <w:rPr>
          <w:rFonts w:hint="default"/>
          <w:lang w:val="en-US" w:eastAsia="zh-CN"/>
        </w:rPr>
      </w:pPr>
      <w:r>
        <w:rPr>
          <w:rFonts w:hint="default"/>
          <w:lang w:val="en-US" w:eastAsia="zh-CN"/>
        </w:rPr>
        <w:t>栏杆高度不应低于1.2m；</w:t>
      </w:r>
    </w:p>
    <w:p w14:paraId="2D577756">
      <w:pPr>
        <w:pStyle w:val="133"/>
        <w:rPr>
          <w:rFonts w:hint="default"/>
          <w:lang w:val="en-US" w:eastAsia="zh-CN"/>
        </w:rPr>
      </w:pPr>
      <w:r>
        <w:rPr>
          <w:rFonts w:hint="default"/>
          <w:lang w:val="en-US" w:eastAsia="zh-CN"/>
        </w:rPr>
        <w:t>应设置高度不低</w:t>
      </w:r>
      <w:r>
        <w:rPr>
          <w:rFonts w:hint="default"/>
          <w:highlight w:val="none"/>
          <w:lang w:val="en-US" w:eastAsia="zh-CN"/>
        </w:rPr>
        <w:t>于180mm的挡</w:t>
      </w:r>
      <w:r>
        <w:rPr>
          <w:rFonts w:hint="default"/>
          <w:lang w:val="en-US" w:eastAsia="zh-CN"/>
        </w:rPr>
        <w:t>脚板，防止工具、物料等坠落。</w:t>
      </w:r>
    </w:p>
    <w:p w14:paraId="68C42B4D">
      <w:pPr>
        <w:pStyle w:val="165"/>
        <w:rPr>
          <w:rFonts w:hint="default"/>
          <w:lang w:val="en-US" w:eastAsia="zh-CN"/>
        </w:rPr>
      </w:pPr>
      <w:r>
        <w:rPr>
          <w:rFonts w:hint="default"/>
          <w:lang w:val="en-US" w:eastAsia="zh-CN"/>
        </w:rPr>
        <w:t>井口、检查井人孔、管道井口等小型洞口，应采用承载能力符合要求的稳固盖板覆盖，或设置防护栏杆，并应在明显位置设置安全警示标识。</w:t>
      </w:r>
    </w:p>
    <w:p w14:paraId="6F3F592A">
      <w:pPr>
        <w:pStyle w:val="165"/>
        <w:rPr>
          <w:rFonts w:hint="default"/>
          <w:lang w:val="en-US" w:eastAsia="zh-CN"/>
        </w:rPr>
      </w:pPr>
      <w:r>
        <w:rPr>
          <w:rFonts w:hint="default"/>
          <w:lang w:val="en-US" w:eastAsia="zh-CN"/>
        </w:rPr>
        <w:t>吊装孔、设备安装孔等大型洞口，除应在周边设置防护栏杆外，在非作业期间还应在洞口下方张挂水平安全网。</w:t>
      </w:r>
    </w:p>
    <w:p w14:paraId="4C10034B">
      <w:pPr>
        <w:pStyle w:val="165"/>
        <w:rPr>
          <w:rFonts w:hint="default"/>
          <w:lang w:val="en-US" w:eastAsia="zh-CN"/>
        </w:rPr>
      </w:pPr>
      <w:r>
        <w:rPr>
          <w:rFonts w:hint="default"/>
          <w:lang w:val="en-US" w:eastAsia="zh-CN"/>
        </w:rPr>
        <w:t>防护设施因作业需要临时拆除时，应在拆除区域设置明显的警示标识，并安排专人监护。作业完毕后应立即恢复原状，并经检查确认安全后方可结束作业。</w:t>
      </w:r>
    </w:p>
    <w:p w14:paraId="74192138">
      <w:pPr>
        <w:pStyle w:val="165"/>
        <w:rPr>
          <w:rFonts w:hint="default"/>
          <w:lang w:val="en-US" w:eastAsia="zh-CN"/>
        </w:rPr>
      </w:pPr>
      <w:r>
        <w:rPr>
          <w:rFonts w:hint="default"/>
          <w:lang w:val="en-US" w:eastAsia="zh-CN"/>
        </w:rPr>
        <w:t>施工单位应建立临边与洞口防护设施的定期检查制度。发现变形、损坏或缺失时，应及时修复或更换，并记录检查与维护情况</w:t>
      </w:r>
    </w:p>
    <w:p w14:paraId="355C45EC">
      <w:pPr>
        <w:pStyle w:val="66"/>
        <w:spacing w:before="120" w:after="120"/>
        <w:rPr>
          <w:rFonts w:hint="eastAsia"/>
          <w:color w:val="auto"/>
          <w:highlight w:val="none"/>
        </w:rPr>
      </w:pPr>
      <w:r>
        <w:rPr>
          <w:rFonts w:hint="eastAsia"/>
          <w:color w:val="auto"/>
          <w:highlight w:val="none"/>
        </w:rPr>
        <w:t>消防防护</w:t>
      </w:r>
    </w:p>
    <w:p w14:paraId="680AFD5E">
      <w:pPr>
        <w:pStyle w:val="165"/>
        <w:rPr>
          <w:rFonts w:hint="eastAsia"/>
          <w:lang w:val="en-US" w:eastAsia="zh-CN"/>
        </w:rPr>
      </w:pPr>
      <w:r>
        <w:rPr>
          <w:rFonts w:hint="default"/>
          <w:lang w:val="en-US" w:eastAsia="zh-CN"/>
        </w:rPr>
        <w:t>建立健全消防安全责任体系。消防设施布置示意图参见附录</w:t>
      </w:r>
      <w:r>
        <w:rPr>
          <w:rFonts w:hint="eastAsia"/>
          <w:lang w:val="en-US" w:eastAsia="zh-CN"/>
        </w:rPr>
        <w:t>G</w:t>
      </w:r>
      <w:r>
        <w:rPr>
          <w:rFonts w:hint="default"/>
          <w:lang w:val="en-US" w:eastAsia="zh-CN"/>
        </w:rPr>
        <w:t>。</w:t>
      </w:r>
    </w:p>
    <w:p w14:paraId="6AC83089">
      <w:pPr>
        <w:pStyle w:val="165"/>
        <w:rPr>
          <w:rFonts w:hint="default"/>
          <w:lang w:val="en-US" w:eastAsia="zh-CN"/>
        </w:rPr>
      </w:pPr>
      <w:r>
        <w:rPr>
          <w:rFonts w:hint="default"/>
          <w:lang w:val="en-US" w:eastAsia="zh-CN"/>
        </w:rPr>
        <w:t>施工现场宜推行“消防五五制”配置与管理模式，即每50平方米作业区域或每20米作业线配置一组手提式灭火器。对于油漆间、危险品仓库、变配电室等重要场所或火灾危险等级较高的场所，灭火器的配置类型、规格、数量及其设置位置应符合GB 50720的规定。</w:t>
      </w:r>
    </w:p>
    <w:p w14:paraId="61119323">
      <w:pPr>
        <w:pStyle w:val="165"/>
        <w:rPr>
          <w:rFonts w:hint="eastAsia"/>
          <w:highlight w:val="none"/>
          <w:lang w:val="en-US" w:eastAsia="zh-CN"/>
        </w:rPr>
      </w:pPr>
      <w:r>
        <w:rPr>
          <w:rFonts w:hint="default"/>
          <w:highlight w:val="none"/>
          <w:lang w:val="en-US" w:eastAsia="zh-CN"/>
        </w:rPr>
        <w:t>仓库、材料堆场、办公区、生活区、配电箱（柜）等关键区域，应独立设置灭火器组。灭火器设置点的位置和数量应根据灭火器的最大保护距离确定，并应保证最不利点至少在1具灭火器的保护范围内。</w:t>
      </w:r>
    </w:p>
    <w:p w14:paraId="4B98E640">
      <w:pPr>
        <w:pStyle w:val="165"/>
        <w:rPr>
          <w:rFonts w:hint="eastAsia"/>
          <w:highlight w:val="none"/>
          <w:lang w:val="en-US" w:eastAsia="zh-CN"/>
        </w:rPr>
      </w:pPr>
      <w:r>
        <w:rPr>
          <w:rFonts w:hint="default"/>
          <w:highlight w:val="none"/>
          <w:lang w:val="en-US" w:eastAsia="zh-CN"/>
        </w:rPr>
        <w:t>动火作业点周边5米范围内，应配置专用灭火器。</w:t>
      </w:r>
    </w:p>
    <w:p w14:paraId="1D897819">
      <w:pPr>
        <w:pStyle w:val="165"/>
        <w:rPr>
          <w:rFonts w:hint="default"/>
          <w:highlight w:val="none"/>
          <w:lang w:val="en-US" w:eastAsia="zh-CN"/>
        </w:rPr>
      </w:pPr>
      <w:r>
        <w:rPr>
          <w:rFonts w:hint="default"/>
          <w:highlight w:val="none"/>
          <w:lang w:val="en-US" w:eastAsia="zh-CN"/>
        </w:rPr>
        <w:t>灭火器应设置在位置明显、便于取用且不得影响安全疏散的地点</w:t>
      </w:r>
      <w:r>
        <w:rPr>
          <w:rFonts w:hint="eastAsia"/>
          <w:highlight w:val="none"/>
          <w:lang w:val="en-US" w:eastAsia="zh-CN"/>
        </w:rPr>
        <w:t>，</w:t>
      </w:r>
      <w:r>
        <w:rPr>
          <w:rFonts w:hint="default"/>
          <w:highlight w:val="none"/>
          <w:lang w:val="en-US" w:eastAsia="zh-CN"/>
        </w:rPr>
        <w:t>灭火器铭牌应朝外。</w:t>
      </w:r>
    </w:p>
    <w:p w14:paraId="66E668E2">
      <w:pPr>
        <w:pStyle w:val="165"/>
        <w:rPr>
          <w:rFonts w:hint="default"/>
          <w:highlight w:val="none"/>
          <w:lang w:val="en-US" w:eastAsia="zh-CN"/>
        </w:rPr>
      </w:pPr>
      <w:r>
        <w:rPr>
          <w:rFonts w:hint="default"/>
          <w:highlight w:val="none"/>
          <w:lang w:val="en-US" w:eastAsia="zh-CN"/>
        </w:rPr>
        <w:t>灭火器箱不应上锁，其周围及上方不得堆放杂物，应保持通道畅通。</w:t>
      </w:r>
    </w:p>
    <w:p w14:paraId="5F54D4BE">
      <w:pPr>
        <w:pStyle w:val="165"/>
        <w:rPr>
          <w:rFonts w:hint="default"/>
          <w:highlight w:val="none"/>
          <w:lang w:val="en-US" w:eastAsia="zh-CN"/>
        </w:rPr>
      </w:pPr>
      <w:r>
        <w:rPr>
          <w:rFonts w:hint="eastAsia"/>
          <w:highlight w:val="none"/>
          <w:lang w:val="en-US" w:eastAsia="zh-CN"/>
        </w:rPr>
        <w:t>手提式</w:t>
      </w:r>
      <w:r>
        <w:rPr>
          <w:rFonts w:hint="default"/>
          <w:highlight w:val="none"/>
          <w:lang w:val="en-US" w:eastAsia="zh-CN"/>
        </w:rPr>
        <w:t>灭火器应设置在灭火器箱内或挂钩、托架上</w:t>
      </w:r>
      <w:r>
        <w:rPr>
          <w:rFonts w:hint="eastAsia"/>
          <w:highlight w:val="none"/>
          <w:lang w:val="en-US" w:eastAsia="zh-CN"/>
        </w:rPr>
        <w:t>；</w:t>
      </w:r>
      <w:r>
        <w:rPr>
          <w:rFonts w:hint="default"/>
          <w:highlight w:val="none"/>
          <w:lang w:val="en-US" w:eastAsia="zh-CN"/>
        </w:rPr>
        <w:t>其顶部离地面高度不应大于1.5米，底部离地面高度不宜小于0.08米。</w:t>
      </w:r>
    </w:p>
    <w:p w14:paraId="2854815C">
      <w:pPr>
        <w:pStyle w:val="165"/>
        <w:rPr>
          <w:rFonts w:hint="default"/>
          <w:lang w:val="en-US" w:eastAsia="zh-CN"/>
        </w:rPr>
      </w:pPr>
      <w:r>
        <w:rPr>
          <w:rFonts w:hint="default"/>
          <w:lang w:val="en-US" w:eastAsia="zh-CN"/>
        </w:rPr>
        <w:t>灭火器设置点应在醒目位置悬挂消防设施责任牌及操作说明标识。</w:t>
      </w:r>
    </w:p>
    <w:p w14:paraId="0E50765B">
      <w:pPr>
        <w:pStyle w:val="165"/>
        <w:rPr>
          <w:rFonts w:hint="default"/>
          <w:lang w:val="en-US" w:eastAsia="zh-CN"/>
        </w:rPr>
      </w:pPr>
      <w:r>
        <w:rPr>
          <w:rFonts w:hint="default"/>
          <w:lang w:val="en-US" w:eastAsia="zh-CN"/>
        </w:rPr>
        <w:t>施工单位应建立灭火器定期检查与维护制度</w:t>
      </w:r>
      <w:r>
        <w:rPr>
          <w:rFonts w:hint="eastAsia"/>
          <w:lang w:val="en-US" w:eastAsia="zh-CN"/>
        </w:rPr>
        <w:t>，</w:t>
      </w:r>
      <w:r>
        <w:rPr>
          <w:rFonts w:hint="default"/>
          <w:lang w:val="en-US" w:eastAsia="zh-CN"/>
        </w:rPr>
        <w:t>检查内容应包括但不限于压力是否正常、瓶体有无锈蚀或机械损伤、配件是否完好有效等。检查与维护情况应记录并存档。</w:t>
      </w:r>
    </w:p>
    <w:p w14:paraId="0D15F283">
      <w:pPr>
        <w:pStyle w:val="165"/>
        <w:rPr>
          <w:rFonts w:hint="default"/>
          <w:lang w:val="en-US" w:eastAsia="zh-CN"/>
        </w:rPr>
      </w:pPr>
      <w:r>
        <w:rPr>
          <w:rFonts w:hint="default"/>
          <w:lang w:val="en-US" w:eastAsia="zh-CN"/>
        </w:rPr>
        <w:t>扑救电气设备火灾时，应首先切断电源，并根据设备类型和火灾性质选用适当的灭火器材：</w:t>
      </w:r>
    </w:p>
    <w:p w14:paraId="058BD623">
      <w:pPr>
        <w:pStyle w:val="133"/>
        <w:rPr>
          <w:rFonts w:hint="default"/>
          <w:lang w:val="en-US" w:eastAsia="zh-CN"/>
        </w:rPr>
      </w:pPr>
      <w:r>
        <w:rPr>
          <w:rFonts w:hint="default"/>
          <w:lang w:val="en-US" w:eastAsia="zh-CN"/>
        </w:rPr>
        <w:t>发电机、电动机等旋转电气设备火灾，应使用干粉灭火器、二氧化碳灭火器或六氟丙烷灭火器扑救；</w:t>
      </w:r>
    </w:p>
    <w:p w14:paraId="4DA0983A">
      <w:pPr>
        <w:pStyle w:val="133"/>
        <w:rPr>
          <w:rFonts w:hint="default"/>
          <w:lang w:val="en-US" w:eastAsia="zh-CN"/>
        </w:rPr>
      </w:pPr>
      <w:r>
        <w:rPr>
          <w:rFonts w:hint="default"/>
          <w:lang w:val="en-US" w:eastAsia="zh-CN"/>
        </w:rPr>
        <w:t>油开关、变压器（已隔绝电源）火灾，可使用干粉灭火器、六氟丙烷灭火器扑救，若无法扑灭时方可用泡沫灭火器扑救，紧急情况下可用干砂覆盖灭火；</w:t>
      </w:r>
    </w:p>
    <w:p w14:paraId="42A29850">
      <w:pPr>
        <w:pStyle w:val="133"/>
        <w:rPr>
          <w:rFonts w:hint="eastAsia"/>
          <w:lang w:val="en-US" w:eastAsia="zh-CN"/>
        </w:rPr>
      </w:pPr>
      <w:r>
        <w:rPr>
          <w:rFonts w:hint="default"/>
          <w:lang w:val="en-US" w:eastAsia="zh-CN"/>
        </w:rPr>
        <w:t>地面绝缘油着火，应用干砂或二氧化碳灭火器扑救。</w:t>
      </w:r>
    </w:p>
    <w:p w14:paraId="0297B7BD">
      <w:pPr>
        <w:pStyle w:val="66"/>
        <w:spacing w:before="120" w:after="120"/>
        <w:rPr>
          <w:rFonts w:hint="default"/>
          <w:color w:val="auto"/>
          <w:highlight w:val="none"/>
          <w:lang w:val="en-US" w:eastAsia="zh-CN"/>
        </w:rPr>
      </w:pPr>
      <w:r>
        <w:rPr>
          <w:rFonts w:hint="eastAsia"/>
          <w:color w:val="auto"/>
          <w:highlight w:val="none"/>
        </w:rPr>
        <w:t>汛期防护</w:t>
      </w:r>
    </w:p>
    <w:p w14:paraId="13F5AFB8">
      <w:pPr>
        <w:pStyle w:val="165"/>
        <w:rPr>
          <w:rFonts w:hint="eastAsia"/>
          <w:lang w:val="en-US" w:eastAsia="zh-CN"/>
        </w:rPr>
      </w:pPr>
      <w:r>
        <w:rPr>
          <w:rFonts w:hint="eastAsia"/>
          <w:lang w:val="en-US" w:eastAsia="zh-CN"/>
        </w:rPr>
        <w:t>汛期施工应建立以项目负责人为首责的防汛指挥体系，明确各级防汛责任人及其职责。防汛责任人应确保应急通讯设备24小时畅通，负责预警信息的及时接收、核实与传达。</w:t>
      </w:r>
    </w:p>
    <w:p w14:paraId="09F2F762">
      <w:pPr>
        <w:pStyle w:val="165"/>
        <w:rPr>
          <w:rFonts w:hint="eastAsia"/>
          <w:lang w:val="en-US" w:eastAsia="zh-CN"/>
        </w:rPr>
      </w:pPr>
      <w:r>
        <w:rPr>
          <w:rFonts w:hint="eastAsia"/>
          <w:lang w:val="en-US" w:eastAsia="zh-CN"/>
        </w:rPr>
        <w:t>汛期应安排专人对施工现场的边坡、挡墙、工棚及围挡等临时设施的稳固性进行每日巡查。巡查中发现隐患或险情，应立即上报，并采取临时处置措施。处置过程及结果应记录存档。</w:t>
      </w:r>
    </w:p>
    <w:p w14:paraId="7E82156E">
      <w:pPr>
        <w:pStyle w:val="165"/>
        <w:rPr>
          <w:rFonts w:hint="eastAsia"/>
          <w:lang w:val="en-US" w:eastAsia="zh-CN"/>
        </w:rPr>
      </w:pPr>
      <w:r>
        <w:rPr>
          <w:rFonts w:hint="eastAsia"/>
          <w:lang w:val="en-US" w:eastAsia="zh-CN"/>
        </w:rPr>
        <w:t>水泵、排污泵、沙袋、防水篷布、应急照明灯具等防汛物资的储备品种与数量，应满足施工现场最大预估排水量及应急抢险的需求。防汛物资储备示意图参见附录H。</w:t>
      </w:r>
    </w:p>
    <w:p w14:paraId="233A1281">
      <w:pPr>
        <w:pStyle w:val="165"/>
        <w:rPr>
          <w:rFonts w:hint="eastAsia"/>
          <w:lang w:val="en-US" w:eastAsia="zh-CN"/>
        </w:rPr>
      </w:pPr>
      <w:r>
        <w:rPr>
          <w:rFonts w:hint="eastAsia"/>
          <w:lang w:val="en-US" w:eastAsia="zh-CN"/>
        </w:rPr>
        <w:t>所有防汛物资应由专人负责统一登记、保管、发放与回收，并建立物资动态管理台账，确保物资完好、随时可用。</w:t>
      </w:r>
    </w:p>
    <w:p w14:paraId="5A3082B0">
      <w:pPr>
        <w:pStyle w:val="165"/>
        <w:rPr>
          <w:rFonts w:hint="eastAsia"/>
          <w:lang w:val="en-US" w:eastAsia="zh-CN"/>
        </w:rPr>
      </w:pPr>
      <w:r>
        <w:rPr>
          <w:rFonts w:hint="eastAsia"/>
          <w:lang w:val="en-US" w:eastAsia="zh-CN"/>
        </w:rPr>
        <w:t>应在施工现场地势低洼处、基坑周边、材料仓库及配电设施入口等关键部位，预先设置防汛物资集中存放点。存放点应标识清晰、便于取用。</w:t>
      </w:r>
    </w:p>
    <w:p w14:paraId="0C0B2DE6">
      <w:pPr>
        <w:pStyle w:val="165"/>
        <w:rPr>
          <w:rFonts w:hint="eastAsia"/>
          <w:lang w:val="en-US" w:eastAsia="zh-CN"/>
        </w:rPr>
      </w:pPr>
      <w:r>
        <w:rPr>
          <w:rFonts w:hint="eastAsia"/>
          <w:lang w:val="en-US" w:eastAsia="zh-CN"/>
        </w:rPr>
        <w:t>防汛专用沙袋应整齐码放于指定地点，并采取防雨遮盖措施，防止板结失效。</w:t>
      </w:r>
    </w:p>
    <w:p w14:paraId="58C413AB">
      <w:pPr>
        <w:pStyle w:val="165"/>
        <w:rPr>
          <w:rFonts w:hint="eastAsia"/>
          <w:lang w:val="en-US" w:eastAsia="zh-CN"/>
        </w:rPr>
      </w:pPr>
      <w:r>
        <w:rPr>
          <w:rFonts w:hint="eastAsia"/>
          <w:lang w:val="en-US" w:eastAsia="zh-CN"/>
        </w:rPr>
        <w:t>施工现场的排水沟、雨水口、沉淀池等设施应定期清理疏通，确保排水系统畅通。</w:t>
      </w:r>
    </w:p>
    <w:p w14:paraId="1E7A800F">
      <w:pPr>
        <w:pStyle w:val="165"/>
        <w:rPr>
          <w:rFonts w:hint="eastAsia"/>
          <w:lang w:val="en-US" w:eastAsia="zh-CN"/>
        </w:rPr>
      </w:pPr>
      <w:r>
        <w:rPr>
          <w:rFonts w:hint="eastAsia"/>
          <w:lang w:val="en-US" w:eastAsia="zh-CN"/>
        </w:rPr>
        <w:t>应配备充足的应急排水设备如水泵，其供电、管路等应处于备用状态。</w:t>
      </w:r>
    </w:p>
    <w:p w14:paraId="12358416">
      <w:pPr>
        <w:pStyle w:val="165"/>
        <w:rPr>
          <w:rFonts w:hint="eastAsia"/>
          <w:lang w:val="en-US" w:eastAsia="zh-CN"/>
        </w:rPr>
      </w:pPr>
      <w:r>
        <w:rPr>
          <w:rFonts w:hint="eastAsia"/>
          <w:lang w:val="en-US" w:eastAsia="zh-CN"/>
        </w:rPr>
        <w:t>所有防汛应急设备，如水泵、发电机、照明设备等应定期进行启动试验和维护保养，试验及维护情况应记录并存档。</w:t>
      </w:r>
    </w:p>
    <w:p w14:paraId="4B73E2EF">
      <w:pPr>
        <w:pStyle w:val="165"/>
        <w:rPr>
          <w:rFonts w:hint="eastAsia"/>
          <w:lang w:val="en-US" w:eastAsia="zh-CN"/>
        </w:rPr>
      </w:pPr>
      <w:r>
        <w:rPr>
          <w:rFonts w:hint="eastAsia"/>
          <w:lang w:val="en-US" w:eastAsia="zh-CN"/>
        </w:rPr>
        <w:t>施工单位应依据防汛应急预案，定期组织防汛应急演练。演练应确保现场全体人员熟悉预警信号、应急撤离路线、集合地点及抢险基本流程。演练后应进行评估与总结，并完善应急预案。</w:t>
      </w:r>
    </w:p>
    <w:p w14:paraId="40349CD9">
      <w:pPr>
        <w:pStyle w:val="66"/>
        <w:spacing w:before="120" w:after="120"/>
        <w:rPr>
          <w:rFonts w:hint="eastAsia"/>
          <w:color w:val="auto"/>
          <w:highlight w:val="none"/>
        </w:rPr>
      </w:pPr>
      <w:r>
        <w:rPr>
          <w:rFonts w:hint="eastAsia"/>
          <w:color w:val="auto"/>
          <w:highlight w:val="none"/>
        </w:rPr>
        <w:t>钢便桥防护</w:t>
      </w:r>
    </w:p>
    <w:p w14:paraId="43FBF656">
      <w:pPr>
        <w:pStyle w:val="165"/>
        <w:rPr>
          <w:rFonts w:hint="default"/>
          <w:lang w:val="en-US" w:eastAsia="zh-CN"/>
        </w:rPr>
      </w:pPr>
      <w:r>
        <w:rPr>
          <w:rFonts w:hint="eastAsia"/>
          <w:lang w:val="en-US" w:eastAsia="zh-CN"/>
        </w:rPr>
        <w:t>钢便桥的架设应严格依据批准的专项施工方案及设计图纸实施，保障结构安全稳定。钢便桥典型构造示意图参见附录I。</w:t>
      </w:r>
    </w:p>
    <w:p w14:paraId="5B672B73">
      <w:pPr>
        <w:pStyle w:val="165"/>
        <w:rPr>
          <w:rFonts w:hint="default"/>
          <w:lang w:val="en-US" w:eastAsia="zh-CN"/>
        </w:rPr>
      </w:pPr>
      <w:r>
        <w:rPr>
          <w:rFonts w:hint="eastAsia"/>
          <w:lang w:val="en-US" w:eastAsia="zh-CN"/>
        </w:rPr>
        <w:t>桥面设计允许的最大承载能力应明确标识。</w:t>
      </w:r>
    </w:p>
    <w:p w14:paraId="67C503A8">
      <w:pPr>
        <w:pStyle w:val="165"/>
        <w:rPr>
          <w:rFonts w:hint="default"/>
          <w:lang w:val="en-US" w:eastAsia="zh-CN"/>
        </w:rPr>
      </w:pPr>
      <w:r>
        <w:rPr>
          <w:rFonts w:hint="eastAsia"/>
          <w:lang w:val="en-US" w:eastAsia="zh-CN"/>
        </w:rPr>
        <w:t>超载车辆或超过设计荷载的机械设备严禁通行。</w:t>
      </w:r>
    </w:p>
    <w:p w14:paraId="6385218F">
      <w:pPr>
        <w:pStyle w:val="165"/>
        <w:rPr>
          <w:rFonts w:hint="default"/>
          <w:lang w:val="en-US" w:eastAsia="zh-CN"/>
        </w:rPr>
      </w:pPr>
      <w:r>
        <w:rPr>
          <w:rFonts w:hint="eastAsia"/>
          <w:lang w:val="en-US" w:eastAsia="zh-CN"/>
        </w:rPr>
        <w:t>钢便桥两端及桥身醒目位置应设置限重、限速、限宽等安全警示标识。</w:t>
      </w:r>
    </w:p>
    <w:p w14:paraId="3C80DF2F">
      <w:pPr>
        <w:pStyle w:val="165"/>
        <w:rPr>
          <w:rFonts w:hint="default"/>
          <w:lang w:val="en-US" w:eastAsia="zh-CN"/>
        </w:rPr>
      </w:pPr>
      <w:r>
        <w:rPr>
          <w:rFonts w:hint="eastAsia"/>
          <w:lang w:val="en-US" w:eastAsia="zh-CN"/>
        </w:rPr>
        <w:t>桥面钢板铺装应平整、坚实，板间连接应牢固紧密，不应出现翘曲、变形或影响通行的显著高差。</w:t>
      </w:r>
    </w:p>
    <w:p w14:paraId="14226E8D">
      <w:pPr>
        <w:pStyle w:val="165"/>
        <w:rPr>
          <w:rFonts w:hint="default"/>
          <w:lang w:val="en-US" w:eastAsia="zh-CN"/>
        </w:rPr>
      </w:pPr>
      <w:r>
        <w:rPr>
          <w:rFonts w:hint="eastAsia"/>
          <w:lang w:val="en-US" w:eastAsia="zh-CN"/>
        </w:rPr>
        <w:t>桥面应设置有效的防滑措施，可采用焊接防滑条、铺设防滑网格板或涂刷防滑涂层等形式。</w:t>
      </w:r>
    </w:p>
    <w:p w14:paraId="4620EDBC">
      <w:pPr>
        <w:pStyle w:val="165"/>
        <w:rPr>
          <w:rFonts w:hint="default"/>
          <w:lang w:val="en-US" w:eastAsia="zh-CN"/>
        </w:rPr>
      </w:pPr>
      <w:r>
        <w:rPr>
          <w:rFonts w:hint="eastAsia"/>
          <w:lang w:val="en-US" w:eastAsia="zh-CN"/>
        </w:rPr>
        <w:t>对于车辆通行频繁的钢便桥，应加装橡胶垫层等降噪措施，以降低对周边环境的噪声影响。</w:t>
      </w:r>
    </w:p>
    <w:p w14:paraId="283B0C03">
      <w:pPr>
        <w:pStyle w:val="165"/>
        <w:rPr>
          <w:rFonts w:hint="default"/>
          <w:lang w:val="en-US" w:eastAsia="zh-CN"/>
        </w:rPr>
      </w:pPr>
      <w:r>
        <w:rPr>
          <w:rFonts w:hint="eastAsia"/>
          <w:lang w:val="en-US" w:eastAsia="zh-CN"/>
        </w:rPr>
        <w:t>桥面应设置适当的横向排水坡度或开设排水孔，确保桥面不积水，防止冬季结冰。</w:t>
      </w:r>
    </w:p>
    <w:p w14:paraId="59AE281B">
      <w:pPr>
        <w:pStyle w:val="165"/>
        <w:rPr>
          <w:rFonts w:hint="eastAsia"/>
          <w:lang w:val="en-US" w:eastAsia="zh-CN"/>
        </w:rPr>
      </w:pPr>
      <w:r>
        <w:rPr>
          <w:rFonts w:hint="eastAsia"/>
          <w:lang w:val="en-US" w:eastAsia="zh-CN"/>
        </w:rPr>
        <w:t>应建立钢便桥定期检查与维护制度。检查内容应包括但不限于：</w:t>
      </w:r>
    </w:p>
    <w:p w14:paraId="0619B89E">
      <w:pPr>
        <w:pStyle w:val="133"/>
        <w:rPr>
          <w:rFonts w:hint="eastAsia"/>
          <w:lang w:val="en-US" w:eastAsia="zh-CN"/>
        </w:rPr>
      </w:pPr>
      <w:r>
        <w:rPr>
          <w:rFonts w:hint="eastAsia"/>
          <w:lang w:val="en-US" w:eastAsia="zh-CN"/>
        </w:rPr>
        <w:t>主要结构构件及连接节点如焊缝、螺栓等的完好情况；</w:t>
      </w:r>
    </w:p>
    <w:p w14:paraId="3DEBBB53">
      <w:pPr>
        <w:pStyle w:val="133"/>
        <w:rPr>
          <w:rFonts w:hint="eastAsia"/>
          <w:lang w:val="en-US" w:eastAsia="zh-CN"/>
        </w:rPr>
      </w:pPr>
      <w:r>
        <w:rPr>
          <w:rFonts w:hint="eastAsia"/>
          <w:lang w:val="en-US" w:eastAsia="zh-CN"/>
        </w:rPr>
        <w:t>桥面铺装层、防滑设施的完好情况；</w:t>
      </w:r>
    </w:p>
    <w:p w14:paraId="3F395384">
      <w:pPr>
        <w:pStyle w:val="133"/>
        <w:rPr>
          <w:rFonts w:hint="eastAsia"/>
          <w:lang w:val="en-US" w:eastAsia="zh-CN"/>
        </w:rPr>
      </w:pPr>
      <w:r>
        <w:rPr>
          <w:rFonts w:hint="eastAsia"/>
          <w:lang w:val="en-US" w:eastAsia="zh-CN"/>
        </w:rPr>
        <w:t>安全警示标识的清晰与完好情况；</w:t>
      </w:r>
    </w:p>
    <w:p w14:paraId="53767B2C">
      <w:pPr>
        <w:pStyle w:val="133"/>
        <w:rPr>
          <w:rFonts w:hint="eastAsia"/>
          <w:lang w:val="en-US" w:eastAsia="zh-CN"/>
        </w:rPr>
      </w:pPr>
      <w:r>
        <w:rPr>
          <w:rFonts w:hint="eastAsia"/>
          <w:lang w:val="en-US" w:eastAsia="zh-CN"/>
        </w:rPr>
        <w:t>排水设施的畅通情况。</w:t>
      </w:r>
    </w:p>
    <w:p w14:paraId="489E2DEF">
      <w:pPr>
        <w:pStyle w:val="165"/>
        <w:rPr>
          <w:rFonts w:hint="eastAsia"/>
          <w:lang w:val="en-US" w:eastAsia="zh-CN"/>
        </w:rPr>
      </w:pPr>
      <w:r>
        <w:rPr>
          <w:rFonts w:hint="eastAsia"/>
          <w:lang w:val="en-US" w:eastAsia="zh-CN"/>
        </w:rPr>
        <w:t>遇大雨、冰雪等恶劣天气后，应对钢便桥进行专项检查，重点检查桥面防滑性能和整体结构稳定性，确保安全通行。</w:t>
      </w:r>
    </w:p>
    <w:p w14:paraId="045B99B4">
      <w:pPr>
        <w:pStyle w:val="66"/>
        <w:spacing w:before="120" w:after="120"/>
        <w:rPr>
          <w:rFonts w:hint="eastAsia"/>
          <w:color w:val="auto"/>
          <w:highlight w:val="none"/>
        </w:rPr>
      </w:pPr>
      <w:r>
        <w:rPr>
          <w:rFonts w:hint="eastAsia"/>
          <w:color w:val="auto"/>
          <w:highlight w:val="none"/>
        </w:rPr>
        <w:t>移动式降噪防尘罩棚</w:t>
      </w:r>
    </w:p>
    <w:p w14:paraId="692655D1">
      <w:pPr>
        <w:pStyle w:val="165"/>
      </w:pPr>
      <w:r>
        <w:rPr>
          <w:rFonts w:hint="eastAsia"/>
          <w:lang w:val="en-US" w:eastAsia="zh-CN"/>
        </w:rPr>
        <w:t>当施工位置邻近居民区或涉及占路作业时，土石方及焊接作业宜采用移动式降噪防尘罩棚降低对周边影响，罩棚尺寸应根据施工区段具体情况进行定制。罩棚结构示意图参见附录J。</w:t>
      </w:r>
    </w:p>
    <w:p w14:paraId="3B1D0DE3">
      <w:pPr>
        <w:pStyle w:val="165"/>
      </w:pPr>
      <w:r>
        <w:rPr>
          <w:rFonts w:hint="eastAsia"/>
          <w:lang w:val="en-US" w:eastAsia="zh-CN"/>
        </w:rPr>
        <w:t>罩棚主体结构应以移动式骨架及可拆卸部件为主，覆盖材料应具备吸声与防尘双重功能，启用后施工作业噪音应控制在 55 dB（A）以下。</w:t>
      </w:r>
    </w:p>
    <w:p w14:paraId="02151AFF">
      <w:pPr>
        <w:pStyle w:val="165"/>
        <w:rPr>
          <w:rFonts w:hint="eastAsia"/>
          <w:lang w:eastAsia="zh-CN"/>
        </w:rPr>
      </w:pPr>
      <w:r>
        <w:rPr>
          <w:rFonts w:hint="eastAsia"/>
          <w:lang w:val="en-US" w:eastAsia="zh-CN"/>
        </w:rPr>
        <w:t>安装前应对地面进行处理，地面应平整、避免轮体受力不均，清除碎石、钢筋等尖锐物防止篷布破损或轮组损坏。</w:t>
      </w:r>
    </w:p>
    <w:p w14:paraId="29889FB0">
      <w:pPr>
        <w:pStyle w:val="165"/>
      </w:pPr>
      <w:r>
        <w:rPr>
          <w:rFonts w:hint="eastAsia"/>
          <w:lang w:val="en-US" w:eastAsia="zh-CN"/>
        </w:rPr>
        <w:t>罩棚展开长度、宽度应与沟槽匹配，单侧覆盖宽度应超出沟槽边缘不小于1.5m。</w:t>
      </w:r>
    </w:p>
    <w:p w14:paraId="6483F201">
      <w:pPr>
        <w:pStyle w:val="165"/>
      </w:pPr>
      <w:r>
        <w:rPr>
          <w:rFonts w:hint="eastAsia"/>
          <w:lang w:val="en-US" w:eastAsia="zh-CN"/>
        </w:rPr>
        <w:t>安装前应进行安全技术交底，明确人员分工如框架组装、篷布安装、系统调试等，并设置作业警示区。</w:t>
      </w:r>
    </w:p>
    <w:p w14:paraId="42DAD947">
      <w:pPr>
        <w:pStyle w:val="165"/>
        <w:rPr>
          <w:highlight w:val="none"/>
        </w:rPr>
      </w:pPr>
      <w:r>
        <w:rPr>
          <w:rFonts w:hint="eastAsia"/>
          <w:highlight w:val="none"/>
          <w:lang w:val="en-US" w:eastAsia="zh-CN"/>
        </w:rPr>
        <w:t>安装过程中，高处作业人员佩戴的安全带应为五点式安全带。</w:t>
      </w:r>
    </w:p>
    <w:p w14:paraId="73134C01">
      <w:pPr>
        <w:pStyle w:val="165"/>
      </w:pPr>
      <w:r>
        <w:rPr>
          <w:rFonts w:hint="eastAsia"/>
          <w:lang w:val="en-US" w:eastAsia="zh-CN"/>
        </w:rPr>
        <w:t>安装完成后验收应满足框架垂直度偏差≤1°、篷布搭接宽度≥10cm、轮组制动同步性两侧轮距偏差≤2cm。</w:t>
      </w:r>
    </w:p>
    <w:p w14:paraId="3DE76528">
      <w:pPr>
        <w:pStyle w:val="165"/>
        <w:rPr>
          <w:rFonts w:hint="eastAsia"/>
          <w:lang w:val="en-US" w:eastAsia="zh-CN"/>
        </w:rPr>
      </w:pPr>
      <w:r>
        <w:rPr>
          <w:rFonts w:hint="eastAsia"/>
          <w:lang w:val="en-US" w:eastAsia="zh-CN"/>
        </w:rPr>
        <w:t>应定期对底部车轮加注润滑油，保证行走顺畅。</w:t>
      </w:r>
    </w:p>
    <w:p w14:paraId="57931055">
      <w:pPr>
        <w:pStyle w:val="165"/>
      </w:pPr>
      <w:r>
        <w:rPr>
          <w:rFonts w:hint="eastAsia"/>
          <w:lang w:val="en-US" w:eastAsia="zh-CN"/>
        </w:rPr>
        <w:t>涉路施工时，应在罩棚外侧设置安全警示带或明显警示标识。</w:t>
      </w:r>
    </w:p>
    <w:p w14:paraId="217657D1">
      <w:pPr>
        <w:pStyle w:val="106"/>
        <w:spacing w:before="120" w:after="120"/>
        <w:rPr>
          <w:rFonts w:hint="eastAsia"/>
          <w:highlight w:val="none"/>
        </w:rPr>
      </w:pPr>
      <w:bookmarkStart w:id="72" w:name="_Toc16787"/>
      <w:r>
        <w:rPr>
          <w:rFonts w:hint="eastAsia"/>
          <w:highlight w:val="none"/>
          <w:lang w:val="en-US" w:eastAsia="zh-CN"/>
        </w:rPr>
        <w:t>料场管理</w:t>
      </w:r>
      <w:bookmarkEnd w:id="72"/>
    </w:p>
    <w:p w14:paraId="510A408A">
      <w:pPr>
        <w:pStyle w:val="165"/>
        <w:rPr>
          <w:rFonts w:hint="default"/>
          <w:highlight w:val="none"/>
          <w:lang w:val="en-US" w:eastAsia="zh-CN"/>
        </w:rPr>
      </w:pPr>
      <w:r>
        <w:rPr>
          <w:rFonts w:hint="default"/>
          <w:highlight w:val="none"/>
          <w:lang w:val="en-US" w:eastAsia="zh-CN"/>
        </w:rPr>
        <w:t>施工现场材料堆放位置</w:t>
      </w:r>
      <w:r>
        <w:rPr>
          <w:rFonts w:hint="eastAsia"/>
          <w:highlight w:val="none"/>
          <w:lang w:val="en-US" w:eastAsia="zh-CN"/>
        </w:rPr>
        <w:t>应按</w:t>
      </w:r>
      <w:r>
        <w:rPr>
          <w:rFonts w:hint="default"/>
          <w:highlight w:val="none"/>
          <w:lang w:val="en-US" w:eastAsia="zh-CN"/>
        </w:rPr>
        <w:t>经批准的</w:t>
      </w:r>
      <w:r>
        <w:rPr>
          <w:rFonts w:hint="eastAsia"/>
          <w:highlight w:val="none"/>
          <w:lang w:val="en-US" w:eastAsia="zh-CN"/>
        </w:rPr>
        <w:t>项目</w:t>
      </w:r>
      <w:r>
        <w:rPr>
          <w:rFonts w:hint="default"/>
          <w:highlight w:val="none"/>
          <w:lang w:val="en-US" w:eastAsia="zh-CN"/>
        </w:rPr>
        <w:t>施工总平面布置图，按</w:t>
      </w:r>
      <w:r>
        <w:rPr>
          <w:rFonts w:hint="eastAsia"/>
          <w:highlight w:val="none"/>
          <w:lang w:val="en-US" w:eastAsia="zh-CN"/>
        </w:rPr>
        <w:t>图纸规划及</w:t>
      </w:r>
      <w:r>
        <w:rPr>
          <w:rFonts w:hint="default"/>
          <w:highlight w:val="none"/>
          <w:lang w:val="en-US" w:eastAsia="zh-CN"/>
        </w:rPr>
        <w:t>功能分区分类存放。</w:t>
      </w:r>
    </w:p>
    <w:p w14:paraId="210B63AE">
      <w:pPr>
        <w:pStyle w:val="165"/>
        <w:rPr>
          <w:rFonts w:hint="default"/>
          <w:highlight w:val="none"/>
          <w:lang w:val="en-US" w:eastAsia="zh-CN"/>
        </w:rPr>
      </w:pPr>
      <w:r>
        <w:rPr>
          <w:rFonts w:hint="default"/>
          <w:highlight w:val="none"/>
          <w:lang w:val="en-US" w:eastAsia="zh-CN"/>
        </w:rPr>
        <w:t>管材及管件堆放应遵守以下规定：</w:t>
      </w:r>
    </w:p>
    <w:p w14:paraId="0A0EDCD2">
      <w:pPr>
        <w:pStyle w:val="133"/>
        <w:rPr>
          <w:rFonts w:hint="default"/>
          <w:lang w:val="en-US" w:eastAsia="zh-CN"/>
        </w:rPr>
      </w:pPr>
      <w:r>
        <w:rPr>
          <w:rFonts w:hint="eastAsia"/>
          <w:lang w:val="en-US" w:eastAsia="zh-CN"/>
        </w:rPr>
        <w:t>应</w:t>
      </w:r>
      <w:r>
        <w:rPr>
          <w:rFonts w:hint="default"/>
          <w:lang w:val="en-US" w:eastAsia="zh-CN"/>
        </w:rPr>
        <w:t>采用高度不小于150mm的专用管托或支垫，管材全体离地存放；</w:t>
      </w:r>
    </w:p>
    <w:p w14:paraId="0BB3E95F">
      <w:pPr>
        <w:pStyle w:val="133"/>
        <w:rPr>
          <w:rFonts w:hint="default"/>
          <w:lang w:val="en-US" w:eastAsia="zh-CN"/>
        </w:rPr>
      </w:pPr>
      <w:r>
        <w:rPr>
          <w:rFonts w:hint="default"/>
          <w:lang w:val="en-US" w:eastAsia="zh-CN"/>
        </w:rPr>
        <w:t>不同材质、规格的管材应分区堆放，严禁</w:t>
      </w:r>
      <w:r>
        <w:rPr>
          <w:rFonts w:hint="eastAsia"/>
          <w:lang w:val="en-US" w:eastAsia="zh-CN"/>
        </w:rPr>
        <w:t>不应</w:t>
      </w:r>
      <w:r>
        <w:rPr>
          <w:rFonts w:hint="default"/>
          <w:lang w:val="en-US" w:eastAsia="zh-CN"/>
        </w:rPr>
        <w:t>混放；</w:t>
      </w:r>
    </w:p>
    <w:p w14:paraId="75BEF4F8">
      <w:pPr>
        <w:pStyle w:val="133"/>
        <w:rPr>
          <w:rFonts w:hint="default"/>
          <w:lang w:val="en-US" w:eastAsia="zh-CN"/>
        </w:rPr>
      </w:pPr>
      <w:r>
        <w:rPr>
          <w:rFonts w:hint="default"/>
          <w:lang w:val="en-US" w:eastAsia="zh-CN"/>
        </w:rPr>
        <w:t>堆放高度不</w:t>
      </w:r>
      <w:r>
        <w:rPr>
          <w:rFonts w:hint="eastAsia"/>
          <w:lang w:val="en-US" w:eastAsia="zh-CN"/>
        </w:rPr>
        <w:t>应</w:t>
      </w:r>
      <w:r>
        <w:rPr>
          <w:rFonts w:hint="default"/>
          <w:lang w:val="en-US" w:eastAsia="zh-CN"/>
        </w:rPr>
        <w:t>超过2.0m；</w:t>
      </w:r>
    </w:p>
    <w:p w14:paraId="115AD490">
      <w:pPr>
        <w:pStyle w:val="133"/>
        <w:rPr>
          <w:rFonts w:hint="default"/>
          <w:lang w:val="en-US" w:eastAsia="zh-CN"/>
        </w:rPr>
      </w:pPr>
      <w:r>
        <w:rPr>
          <w:rFonts w:hint="default"/>
          <w:lang w:val="en-US" w:eastAsia="zh-CN"/>
        </w:rPr>
        <w:t>堆放场地应远离火源、热源及腐蚀性物质，防火间距应符合现行国家规范要求。</w:t>
      </w:r>
    </w:p>
    <w:p w14:paraId="3D9BA660">
      <w:pPr>
        <w:pStyle w:val="165"/>
        <w:rPr>
          <w:rFonts w:hint="default"/>
          <w:highlight w:val="none"/>
          <w:lang w:val="en-US" w:eastAsia="zh-CN"/>
        </w:rPr>
      </w:pPr>
      <w:r>
        <w:rPr>
          <w:rFonts w:hint="default"/>
          <w:highlight w:val="none"/>
          <w:lang w:val="en-US" w:eastAsia="zh-CN"/>
        </w:rPr>
        <w:t>绝热材料储存应遵守以下规定：</w:t>
      </w:r>
    </w:p>
    <w:p w14:paraId="6A27FF41">
      <w:pPr>
        <w:pStyle w:val="133"/>
        <w:rPr>
          <w:rFonts w:hint="default"/>
          <w:lang w:val="en-US" w:eastAsia="zh-CN"/>
        </w:rPr>
      </w:pPr>
      <w:r>
        <w:rPr>
          <w:rFonts w:hint="eastAsia"/>
          <w:lang w:val="en-US" w:eastAsia="zh-CN"/>
        </w:rPr>
        <w:t>不应</w:t>
      </w:r>
      <w:r>
        <w:rPr>
          <w:rFonts w:hint="default"/>
          <w:lang w:val="en-US" w:eastAsia="zh-CN"/>
        </w:rPr>
        <w:t>露天堆放；</w:t>
      </w:r>
    </w:p>
    <w:p w14:paraId="6CFD6054">
      <w:pPr>
        <w:pStyle w:val="133"/>
        <w:rPr>
          <w:rFonts w:hint="default"/>
          <w:lang w:val="en-US" w:eastAsia="zh-CN"/>
        </w:rPr>
      </w:pPr>
      <w:r>
        <w:rPr>
          <w:rFonts w:hint="eastAsia"/>
          <w:lang w:val="en-US" w:eastAsia="zh-CN"/>
        </w:rPr>
        <w:t>应</w:t>
      </w:r>
      <w:r>
        <w:rPr>
          <w:rFonts w:hint="default"/>
          <w:lang w:val="en-US" w:eastAsia="zh-CN"/>
        </w:rPr>
        <w:t>设置专用仓库或堆放区，采取可靠的防雨、防雪、防潮措施；</w:t>
      </w:r>
    </w:p>
    <w:p w14:paraId="6C99634B">
      <w:pPr>
        <w:pStyle w:val="133"/>
        <w:rPr>
          <w:rFonts w:hint="default"/>
          <w:lang w:val="en-US" w:eastAsia="zh-CN"/>
        </w:rPr>
      </w:pPr>
      <w:r>
        <w:rPr>
          <w:rFonts w:hint="default"/>
          <w:lang w:val="en-US" w:eastAsia="zh-CN"/>
        </w:rPr>
        <w:t>地面应铺设防潮层，保持储存环境干燥通风；</w:t>
      </w:r>
    </w:p>
    <w:p w14:paraId="0E94C2AD">
      <w:pPr>
        <w:pStyle w:val="133"/>
        <w:rPr>
          <w:rFonts w:hint="default"/>
          <w:lang w:val="en-US" w:eastAsia="zh-CN"/>
        </w:rPr>
      </w:pPr>
      <w:r>
        <w:rPr>
          <w:rFonts w:hint="default"/>
          <w:lang w:val="en-US" w:eastAsia="zh-CN"/>
        </w:rPr>
        <w:t>材料包装应完好无损，</w:t>
      </w:r>
      <w:r>
        <w:rPr>
          <w:rFonts w:hint="eastAsia"/>
          <w:lang w:val="en-US" w:eastAsia="zh-CN"/>
        </w:rPr>
        <w:t>出现</w:t>
      </w:r>
      <w:r>
        <w:rPr>
          <w:rFonts w:hint="default"/>
          <w:lang w:val="en-US" w:eastAsia="zh-CN"/>
        </w:rPr>
        <w:t>受潮、浸水等情况应立即隔离处理。</w:t>
      </w:r>
    </w:p>
    <w:p w14:paraId="7D06D207">
      <w:pPr>
        <w:pStyle w:val="105"/>
        <w:spacing w:before="240" w:after="240"/>
      </w:pPr>
      <w:bookmarkStart w:id="73" w:name="_Toc14023"/>
      <w:r>
        <w:rPr>
          <w:rFonts w:hint="eastAsia"/>
        </w:rPr>
        <w:t>作业管理</w:t>
      </w:r>
      <w:bookmarkEnd w:id="73"/>
    </w:p>
    <w:p w14:paraId="09B44464">
      <w:pPr>
        <w:pStyle w:val="106"/>
        <w:spacing w:before="120" w:after="120"/>
      </w:pPr>
      <w:bookmarkStart w:id="74" w:name="_Toc15377"/>
      <w:r>
        <w:rPr>
          <w:rFonts w:hint="eastAsia"/>
        </w:rPr>
        <w:t>基坑（槽）作业管理</w:t>
      </w:r>
      <w:bookmarkEnd w:id="74"/>
    </w:p>
    <w:p w14:paraId="63B06EE4">
      <w:pPr>
        <w:pStyle w:val="66"/>
        <w:spacing w:before="120" w:after="120"/>
      </w:pPr>
      <w:r>
        <w:rPr>
          <w:rFonts w:hint="eastAsia"/>
          <w:lang w:val="en-US" w:eastAsia="zh-CN"/>
        </w:rPr>
        <w:t>一般规定</w:t>
      </w:r>
    </w:p>
    <w:p w14:paraId="7F1E6700">
      <w:pPr>
        <w:pStyle w:val="165"/>
        <w:rPr>
          <w:rFonts w:hint="eastAsia"/>
          <w:lang w:val="en-US" w:eastAsia="zh-CN"/>
        </w:rPr>
      </w:pPr>
      <w:r>
        <w:rPr>
          <w:rFonts w:hint="eastAsia"/>
          <w:lang w:val="en-US" w:eastAsia="zh-CN"/>
        </w:rPr>
        <w:t>基坑（槽）施工应严格按照经审批的专项施工方案组织实施。属于超过一定规模的危险性较大的分部分项工程时，专项施工方案应经专家论证通过。</w:t>
      </w:r>
    </w:p>
    <w:p w14:paraId="0135EB11">
      <w:pPr>
        <w:pStyle w:val="165"/>
        <w:rPr>
          <w:rFonts w:hint="eastAsia"/>
          <w:lang w:val="en-US" w:eastAsia="zh-CN"/>
        </w:rPr>
      </w:pPr>
      <w:r>
        <w:rPr>
          <w:rFonts w:hint="eastAsia"/>
          <w:lang w:val="en-US" w:eastAsia="zh-CN"/>
        </w:rPr>
        <w:t>基坑（槽）开挖应遵循分层、分段、均衡开挖的原则，并应符合“开槽支撑、先撑后挖、分层开挖”的作业顺序。</w:t>
      </w:r>
    </w:p>
    <w:p w14:paraId="49B97FD8">
      <w:pPr>
        <w:pStyle w:val="165"/>
        <w:rPr>
          <w:rFonts w:hint="eastAsia"/>
          <w:lang w:val="en-US" w:eastAsia="zh-CN"/>
        </w:rPr>
      </w:pPr>
      <w:r>
        <w:rPr>
          <w:rFonts w:hint="eastAsia"/>
          <w:lang w:val="en-US" w:eastAsia="zh-CN"/>
        </w:rPr>
        <w:t>当基坑周边环境或施工条件发生重大变化时，应对专项施工方案进行重新评估、审核与审批。</w:t>
      </w:r>
    </w:p>
    <w:p w14:paraId="1E252E34">
      <w:pPr>
        <w:pStyle w:val="165"/>
        <w:rPr>
          <w:rFonts w:hint="eastAsia"/>
          <w:lang w:val="en-US" w:eastAsia="zh-CN"/>
        </w:rPr>
      </w:pPr>
      <w:r>
        <w:rPr>
          <w:rFonts w:hint="eastAsia"/>
          <w:lang w:val="en-US" w:eastAsia="zh-CN"/>
        </w:rPr>
        <w:t>基坑开挖前，应由监测单位编制监测方案。监测方案应明确监测项目、监测报警值、监测方法、监测点的布置及监测周期。</w:t>
      </w:r>
    </w:p>
    <w:p w14:paraId="091C53FA">
      <w:pPr>
        <w:pStyle w:val="165"/>
        <w:rPr>
          <w:rFonts w:hint="eastAsia"/>
          <w:lang w:val="en-US" w:eastAsia="zh-CN"/>
        </w:rPr>
      </w:pPr>
      <w:r>
        <w:rPr>
          <w:rFonts w:hint="eastAsia"/>
          <w:lang w:val="en-US" w:eastAsia="zh-CN"/>
        </w:rPr>
        <w:t>基坑（槽）工程施工及使用期间，应进行日常巡视检查，每日不少于一次，雨期应增加巡视检查频次。巡视检查内容应包括：支护结构状况、施工工况、周边环境、监测设施完好情况。</w:t>
      </w:r>
    </w:p>
    <w:p w14:paraId="382F4DCB">
      <w:pPr>
        <w:pStyle w:val="165"/>
        <w:rPr>
          <w:rFonts w:hint="eastAsia"/>
          <w:lang w:val="en-US" w:eastAsia="zh-CN"/>
        </w:rPr>
      </w:pPr>
      <w:r>
        <w:rPr>
          <w:rFonts w:hint="eastAsia"/>
          <w:lang w:val="en-US" w:eastAsia="zh-CN"/>
        </w:rPr>
        <w:t>巡视检查宜以目视为主，可辅以锤、钎、量尺、放大镜等工器具以及摄像、摄影等手段。发现异常或危险情况时，应与仪器监测数据结合进行综合分析。</w:t>
      </w:r>
    </w:p>
    <w:p w14:paraId="219A3AA9">
      <w:pPr>
        <w:pStyle w:val="66"/>
        <w:spacing w:before="120" w:after="120"/>
      </w:pPr>
      <w:r>
        <w:rPr>
          <w:rFonts w:hint="eastAsia"/>
        </w:rPr>
        <w:t>作业过程管理</w:t>
      </w:r>
    </w:p>
    <w:p w14:paraId="3B280CB8">
      <w:pPr>
        <w:pStyle w:val="165"/>
        <w:rPr>
          <w:rFonts w:hint="eastAsia"/>
          <w:lang w:val="en-US" w:eastAsia="zh-CN"/>
        </w:rPr>
      </w:pPr>
      <w:r>
        <w:rPr>
          <w:rFonts w:hint="eastAsia"/>
          <w:lang w:val="en-US" w:eastAsia="zh-CN"/>
        </w:rPr>
        <w:t>应按照专项方案中的开挖方式、开挖顺序、放坡坡度及支护措施进行施工。</w:t>
      </w:r>
    </w:p>
    <w:p w14:paraId="42FB0534">
      <w:pPr>
        <w:pStyle w:val="165"/>
        <w:rPr>
          <w:rFonts w:hint="eastAsia"/>
          <w:lang w:val="en-US" w:eastAsia="zh-CN"/>
        </w:rPr>
      </w:pPr>
      <w:r>
        <w:rPr>
          <w:rFonts w:hint="eastAsia"/>
          <w:lang w:val="en-US" w:eastAsia="zh-CN"/>
        </w:rPr>
        <w:t>应提前办理渣土消纳许可。运输车辆宜推广使用纯电动建筑垃圾运输车，并配备卫星定位系统。渣土应封闭运输至指定消纳地点，车辆出场应确保轮胎洁净，运输途中应及时清理遗撒，避免污染环境。</w:t>
      </w:r>
    </w:p>
    <w:p w14:paraId="05A5CDAF">
      <w:pPr>
        <w:pStyle w:val="165"/>
        <w:rPr>
          <w:rFonts w:hint="eastAsia"/>
          <w:lang w:val="en-US" w:eastAsia="zh-CN"/>
        </w:rPr>
      </w:pPr>
      <w:r>
        <w:rPr>
          <w:rFonts w:hint="eastAsia"/>
          <w:lang w:val="en-US" w:eastAsia="zh-CN"/>
        </w:rPr>
        <w:t>作业前应按照专项方案做好有效的止水与排水措施，确保基坑（槽）底地基承载力满足设计要求，不受水浸泡。</w:t>
      </w:r>
    </w:p>
    <w:p w14:paraId="085AA303">
      <w:pPr>
        <w:pStyle w:val="165"/>
        <w:rPr>
          <w:rFonts w:hint="eastAsia"/>
          <w:lang w:val="en-US" w:eastAsia="zh-CN"/>
        </w:rPr>
      </w:pPr>
      <w:r>
        <w:rPr>
          <w:rFonts w:hint="eastAsia"/>
          <w:lang w:val="en-US" w:eastAsia="zh-CN"/>
        </w:rPr>
        <w:t>基坑（槽）开挖过程中严禁超挖、欠挖，及时对基坑（槽）避进行支护，开挖至坑（槽）设计基底标高200-300mm时，应停止机械作业，人工清底。</w:t>
      </w:r>
    </w:p>
    <w:p w14:paraId="34C5C827">
      <w:pPr>
        <w:pStyle w:val="165"/>
        <w:rPr>
          <w:rFonts w:hint="eastAsia"/>
          <w:lang w:val="en-US" w:eastAsia="zh-CN"/>
        </w:rPr>
      </w:pPr>
      <w:r>
        <w:rPr>
          <w:rFonts w:hint="eastAsia"/>
          <w:lang w:val="en-US" w:eastAsia="zh-CN"/>
        </w:rPr>
        <w:t>基坑（槽）开挖到基底后，应检查基底土质情况及地基承载力是否符合设计要求，基底不得受水浸泡，地下水位应稳定降至基底以下至少0.5m。基底存在局部松软、孔洞、承载力不足时，应会同勘察、设计等单位确定处置方案，确保基底满足设计要求。</w:t>
      </w:r>
    </w:p>
    <w:p w14:paraId="19E9260D">
      <w:pPr>
        <w:pStyle w:val="165"/>
        <w:rPr>
          <w:rFonts w:hint="eastAsia"/>
          <w:lang w:val="en-US" w:eastAsia="zh-CN"/>
        </w:rPr>
      </w:pPr>
      <w:r>
        <w:rPr>
          <w:rFonts w:hint="eastAsia"/>
          <w:lang w:val="en-US" w:eastAsia="zh-CN"/>
        </w:rPr>
        <w:t>基坑（槽）周边应设置连续、牢固的防护栏杆，并悬挂安全警示标识。因施工需要临时拆除的防护栏杆应及时恢复。</w:t>
      </w:r>
    </w:p>
    <w:p w14:paraId="2C8DB303">
      <w:pPr>
        <w:pStyle w:val="165"/>
        <w:rPr>
          <w:rFonts w:hint="eastAsia"/>
          <w:lang w:val="en-US" w:eastAsia="zh-CN"/>
        </w:rPr>
      </w:pPr>
      <w:r>
        <w:rPr>
          <w:rFonts w:hint="eastAsia"/>
          <w:lang w:val="en-US" w:eastAsia="zh-CN"/>
        </w:rPr>
        <w:t>基坑（槽）应设置安全、稳固的上下通行安全梯。安全梯可采用斜梯或直梯等形式，斜梯与水平面的夹角宜为70°～80°。垂直高度超过6m时，应设置休息平台。</w:t>
      </w:r>
    </w:p>
    <w:p w14:paraId="2729095F">
      <w:pPr>
        <w:pStyle w:val="165"/>
        <w:rPr>
          <w:rFonts w:hint="eastAsia"/>
          <w:lang w:val="en-US" w:eastAsia="zh-CN"/>
        </w:rPr>
      </w:pPr>
      <w:r>
        <w:rPr>
          <w:rFonts w:hint="eastAsia"/>
          <w:lang w:val="en-US" w:eastAsia="zh-CN"/>
        </w:rPr>
        <w:t>基坑（槽）周边堆载应符合下列规定：</w:t>
      </w:r>
    </w:p>
    <w:p w14:paraId="7B2BCB75">
      <w:pPr>
        <w:pStyle w:val="133"/>
        <w:rPr>
          <w:rFonts w:hint="eastAsia"/>
          <w:lang w:val="en-US" w:eastAsia="zh-CN"/>
        </w:rPr>
      </w:pPr>
      <w:r>
        <w:rPr>
          <w:rFonts w:hint="eastAsia"/>
          <w:lang w:val="en-US" w:eastAsia="zh-CN"/>
        </w:rPr>
        <w:t>1.5m范围内不应堆载；</w:t>
      </w:r>
    </w:p>
    <w:p w14:paraId="4F6E3EEC">
      <w:pPr>
        <w:pStyle w:val="133"/>
        <w:rPr>
          <w:rFonts w:hint="eastAsia"/>
          <w:lang w:val="en-US" w:eastAsia="zh-CN"/>
        </w:rPr>
      </w:pPr>
      <w:r>
        <w:rPr>
          <w:rFonts w:hint="eastAsia"/>
          <w:lang w:val="en-US" w:eastAsia="zh-CN"/>
        </w:rPr>
        <w:t>3m以内限制堆载，堆载高度不应超过1.5m；</w:t>
      </w:r>
    </w:p>
    <w:p w14:paraId="4C0C67B8">
      <w:pPr>
        <w:pStyle w:val="133"/>
        <w:rPr>
          <w:rFonts w:hint="eastAsia"/>
          <w:lang w:val="en-US" w:eastAsia="zh-CN"/>
        </w:rPr>
      </w:pPr>
      <w:r>
        <w:rPr>
          <w:rFonts w:hint="eastAsia"/>
          <w:lang w:val="en-US" w:eastAsia="zh-CN"/>
        </w:rPr>
        <w:t>堆载应进行环保覆盖，且周边使用荷载不得超过设计允许值。</w:t>
      </w:r>
    </w:p>
    <w:p w14:paraId="17697584">
      <w:pPr>
        <w:pStyle w:val="165"/>
        <w:rPr>
          <w:rFonts w:hint="eastAsia"/>
          <w:lang w:val="en-US" w:eastAsia="zh-CN"/>
        </w:rPr>
      </w:pPr>
      <w:r>
        <w:rPr>
          <w:rFonts w:hint="eastAsia"/>
          <w:lang w:val="en-US" w:eastAsia="zh-CN"/>
        </w:rPr>
        <w:t>应对基坑（槽）影响范围内可能出现的交通荷载或大于35kPa的振动荷载进行安全评估，不应超载作业。基坑（槽）支护典型示意见附录K。</w:t>
      </w:r>
    </w:p>
    <w:p w14:paraId="58C8B9C4">
      <w:pPr>
        <w:pStyle w:val="165"/>
        <w:rPr>
          <w:rFonts w:hint="eastAsia"/>
          <w:lang w:val="en-US" w:eastAsia="zh-CN"/>
        </w:rPr>
      </w:pPr>
      <w:r>
        <w:rPr>
          <w:rFonts w:hint="eastAsia"/>
          <w:lang w:val="en-US" w:eastAsia="zh-CN"/>
        </w:rPr>
        <w:t>在基坑（槽）作业前、中、后期，应对其影响范围内的地面及毗邻建（构）筑物进行监测。出现沉降预警时，应立即停工并采取措施处置。</w:t>
      </w:r>
    </w:p>
    <w:p w14:paraId="7362C01D">
      <w:pPr>
        <w:pStyle w:val="165"/>
        <w:rPr>
          <w:rFonts w:hint="eastAsia"/>
          <w:lang w:val="en-US" w:eastAsia="zh-CN"/>
        </w:rPr>
      </w:pPr>
      <w:r>
        <w:rPr>
          <w:rFonts w:hint="eastAsia"/>
          <w:lang w:val="en-US" w:eastAsia="zh-CN"/>
        </w:rPr>
        <w:t>基坑（槽）出现坍塌征兆或事故时，应立即执行下列应急程序：</w:t>
      </w:r>
    </w:p>
    <w:p w14:paraId="618DB15D">
      <w:pPr>
        <w:pStyle w:val="133"/>
        <w:rPr>
          <w:rFonts w:hint="eastAsia"/>
          <w:lang w:val="en-US" w:eastAsia="zh-CN"/>
        </w:rPr>
      </w:pPr>
      <w:r>
        <w:rPr>
          <w:rFonts w:hint="eastAsia"/>
          <w:lang w:val="en-US" w:eastAsia="zh-CN"/>
        </w:rPr>
        <w:t>立即停工，设立警戒区域，疏散人员，确保安全；</w:t>
      </w:r>
    </w:p>
    <w:p w14:paraId="30719E67">
      <w:pPr>
        <w:pStyle w:val="133"/>
        <w:rPr>
          <w:rFonts w:hint="eastAsia"/>
          <w:lang w:val="en-US" w:eastAsia="zh-CN"/>
        </w:rPr>
      </w:pPr>
      <w:r>
        <w:rPr>
          <w:rFonts w:hint="eastAsia"/>
          <w:lang w:val="en-US" w:eastAsia="zh-CN"/>
        </w:rPr>
        <w:t>采取必要的临时支护或卸荷措施，防止事故扩大；</w:t>
      </w:r>
    </w:p>
    <w:p w14:paraId="4E8B25B9">
      <w:pPr>
        <w:pStyle w:val="133"/>
        <w:rPr>
          <w:rFonts w:hint="eastAsia"/>
          <w:lang w:val="en-US" w:eastAsia="zh-CN"/>
        </w:rPr>
      </w:pPr>
      <w:r>
        <w:rPr>
          <w:rFonts w:hint="eastAsia"/>
          <w:lang w:val="en-US" w:eastAsia="zh-CN"/>
        </w:rPr>
        <w:t>立即加强监测与巡视频次，并详细记录；</w:t>
      </w:r>
    </w:p>
    <w:p w14:paraId="2D1A92A4">
      <w:pPr>
        <w:pStyle w:val="133"/>
        <w:rPr>
          <w:rFonts w:hint="eastAsia"/>
          <w:lang w:val="en-US" w:eastAsia="zh-CN"/>
        </w:rPr>
      </w:pPr>
      <w:r>
        <w:rPr>
          <w:rFonts w:hint="eastAsia"/>
          <w:lang w:val="en-US" w:eastAsia="zh-CN"/>
        </w:rPr>
        <w:t>组织专家和技术力量进行险情评估，制定并实施加固处理方案；</w:t>
      </w:r>
    </w:p>
    <w:p w14:paraId="198CFA91">
      <w:pPr>
        <w:pStyle w:val="133"/>
        <w:rPr>
          <w:rFonts w:hint="eastAsia"/>
          <w:lang w:val="en-US" w:eastAsia="zh-CN"/>
        </w:rPr>
      </w:pPr>
      <w:r>
        <w:rPr>
          <w:rFonts w:hint="eastAsia"/>
          <w:lang w:val="en-US" w:eastAsia="zh-CN"/>
        </w:rPr>
        <w:t>经评估确认基坑（槽）恢复稳定后，方可批准继续施工。</w:t>
      </w:r>
    </w:p>
    <w:p w14:paraId="53A92572">
      <w:pPr>
        <w:pStyle w:val="106"/>
        <w:spacing w:before="120" w:after="120"/>
      </w:pPr>
      <w:bookmarkStart w:id="75" w:name="_Toc6191"/>
      <w:r>
        <w:rPr>
          <w:rFonts w:hint="eastAsia"/>
        </w:rPr>
        <w:t>动火作业管理</w:t>
      </w:r>
      <w:bookmarkEnd w:id="75"/>
    </w:p>
    <w:p w14:paraId="1B0E64E7">
      <w:pPr>
        <w:pStyle w:val="66"/>
        <w:spacing w:before="120" w:after="120"/>
      </w:pPr>
      <w:r>
        <w:rPr>
          <w:rFonts w:hint="eastAsia"/>
          <w:lang w:val="en-US" w:eastAsia="zh-CN"/>
        </w:rPr>
        <w:t>一般规定</w:t>
      </w:r>
    </w:p>
    <w:p w14:paraId="36FB7048">
      <w:pPr>
        <w:pStyle w:val="165"/>
        <w:rPr>
          <w:rFonts w:hint="eastAsia"/>
          <w:lang w:val="en-US" w:eastAsia="zh-CN"/>
        </w:rPr>
      </w:pPr>
      <w:r>
        <w:rPr>
          <w:rFonts w:hint="eastAsia"/>
          <w:lang w:val="en-US" w:eastAsia="zh-CN"/>
        </w:rPr>
        <w:t>动火作业是指施工作业过程中可能产生火焰、火花或炽热表面的临时性作业，主要包括：</w:t>
      </w:r>
    </w:p>
    <w:p w14:paraId="5DEDADF6">
      <w:pPr>
        <w:pStyle w:val="133"/>
        <w:rPr>
          <w:rFonts w:hint="eastAsia"/>
          <w:highlight w:val="none"/>
          <w:lang w:val="en-US" w:eastAsia="zh-CN"/>
        </w:rPr>
      </w:pPr>
      <w:r>
        <w:rPr>
          <w:rFonts w:hint="eastAsia"/>
          <w:highlight w:val="none"/>
          <w:lang w:val="en-US" w:eastAsia="zh-CN"/>
        </w:rPr>
        <w:t xml:space="preserve">熔化焊接与热切割作业（电焊、气焊、气割等）； </w:t>
      </w:r>
    </w:p>
    <w:p w14:paraId="28B26AE2">
      <w:pPr>
        <w:pStyle w:val="133"/>
        <w:rPr>
          <w:rFonts w:hint="eastAsia"/>
          <w:highlight w:val="none"/>
          <w:lang w:val="en-US" w:eastAsia="zh-CN"/>
        </w:rPr>
      </w:pPr>
      <w:r>
        <w:rPr>
          <w:rFonts w:hint="eastAsia"/>
          <w:highlight w:val="none"/>
          <w:lang w:val="en-US" w:eastAsia="zh-CN"/>
        </w:rPr>
        <w:t xml:space="preserve">明火作业（喷灯、火炬等）； </w:t>
      </w:r>
    </w:p>
    <w:p w14:paraId="6AD4E9D0">
      <w:pPr>
        <w:pStyle w:val="133"/>
        <w:rPr>
          <w:rFonts w:hint="eastAsia"/>
          <w:highlight w:val="none"/>
          <w:lang w:val="en-US" w:eastAsia="zh-CN"/>
        </w:rPr>
      </w:pPr>
      <w:r>
        <w:rPr>
          <w:rFonts w:hint="eastAsia"/>
          <w:highlight w:val="none"/>
          <w:lang w:val="en-US" w:eastAsia="zh-CN"/>
        </w:rPr>
        <w:t>产生火花的机械作业（打磨、砂轮切割、电钻等）。</w:t>
      </w:r>
    </w:p>
    <w:p w14:paraId="4462F8B1">
      <w:pPr>
        <w:pStyle w:val="165"/>
        <w:rPr>
          <w:rFonts w:hint="eastAsia"/>
        </w:rPr>
      </w:pPr>
      <w:r>
        <w:rPr>
          <w:rFonts w:hint="eastAsia"/>
        </w:rPr>
        <w:t>建设、施工、监理等单位应明确各自消防安全管理责任，建立健全动火作业安全管理体系，落实全过程管控措施。</w:t>
      </w:r>
    </w:p>
    <w:p w14:paraId="21F9BCA9">
      <w:pPr>
        <w:pStyle w:val="165"/>
        <w:rPr>
          <w:rFonts w:hint="eastAsia"/>
          <w:lang w:val="en-US" w:eastAsia="zh-CN"/>
        </w:rPr>
      </w:pPr>
      <w:r>
        <w:rPr>
          <w:rFonts w:hint="eastAsia"/>
          <w:lang w:val="en-US" w:eastAsia="zh-CN"/>
        </w:rPr>
        <w:t xml:space="preserve">施工单位应建立动火作业管理制度，内容应包括： </w:t>
      </w:r>
    </w:p>
    <w:p w14:paraId="510D979D">
      <w:pPr>
        <w:pStyle w:val="133"/>
        <w:rPr>
          <w:rFonts w:hint="eastAsia"/>
          <w:highlight w:val="none"/>
          <w:lang w:val="en-US" w:eastAsia="zh-CN"/>
        </w:rPr>
      </w:pPr>
      <w:r>
        <w:rPr>
          <w:rFonts w:hint="eastAsia"/>
          <w:highlight w:val="none"/>
          <w:lang w:val="en-US" w:eastAsia="zh-CN"/>
        </w:rPr>
        <w:t>动火作业分级标准与审批权限；</w:t>
      </w:r>
    </w:p>
    <w:p w14:paraId="1DB11346">
      <w:pPr>
        <w:pStyle w:val="133"/>
        <w:rPr>
          <w:rFonts w:hint="eastAsia"/>
          <w:highlight w:val="none"/>
          <w:lang w:val="en-US" w:eastAsia="zh-CN"/>
        </w:rPr>
      </w:pPr>
      <w:r>
        <w:rPr>
          <w:rFonts w:hint="eastAsia"/>
          <w:highlight w:val="none"/>
          <w:lang w:val="en-US" w:eastAsia="zh-CN"/>
        </w:rPr>
        <w:t>审批流程及责任人授权机制；</w:t>
      </w:r>
    </w:p>
    <w:p w14:paraId="5B4FCC75">
      <w:pPr>
        <w:pStyle w:val="133"/>
        <w:rPr>
          <w:rFonts w:hint="eastAsia"/>
          <w:highlight w:val="none"/>
          <w:lang w:val="en-US" w:eastAsia="zh-CN"/>
        </w:rPr>
      </w:pPr>
      <w:r>
        <w:rPr>
          <w:rFonts w:hint="eastAsia"/>
          <w:highlight w:val="none"/>
          <w:lang w:val="en-US" w:eastAsia="zh-CN"/>
        </w:rPr>
        <w:t>作业人员持证上岗要求及资格审查；</w:t>
      </w:r>
    </w:p>
    <w:p w14:paraId="02E4942A">
      <w:pPr>
        <w:pStyle w:val="133"/>
        <w:rPr>
          <w:rFonts w:hint="eastAsia"/>
          <w:highlight w:val="none"/>
          <w:lang w:val="en-US" w:eastAsia="zh-CN"/>
        </w:rPr>
      </w:pPr>
      <w:r>
        <w:rPr>
          <w:rFonts w:hint="eastAsia"/>
          <w:highlight w:val="none"/>
          <w:lang w:val="en-US" w:eastAsia="zh-CN"/>
        </w:rPr>
        <w:t>作业现场安全措施及验收标准；</w:t>
      </w:r>
    </w:p>
    <w:p w14:paraId="0F08F2D2">
      <w:pPr>
        <w:pStyle w:val="133"/>
        <w:rPr>
          <w:rFonts w:hint="eastAsia"/>
          <w:highlight w:val="none"/>
          <w:lang w:val="en-US" w:eastAsia="zh-CN"/>
        </w:rPr>
      </w:pPr>
      <w:r>
        <w:rPr>
          <w:rFonts w:hint="eastAsia"/>
          <w:highlight w:val="none"/>
          <w:lang w:val="en-US" w:eastAsia="zh-CN"/>
        </w:rPr>
        <w:t>应急处置预案及事故报告程序。</w:t>
      </w:r>
    </w:p>
    <w:p w14:paraId="59FF2F83">
      <w:pPr>
        <w:pStyle w:val="165"/>
        <w:rPr>
          <w:rFonts w:hint="eastAsia"/>
          <w:highlight w:val="none"/>
          <w:lang w:val="en-US" w:eastAsia="zh-CN"/>
        </w:rPr>
      </w:pPr>
      <w:r>
        <w:rPr>
          <w:rFonts w:hint="eastAsia"/>
          <w:highlight w:val="none"/>
          <w:lang w:val="en-US" w:eastAsia="zh-CN"/>
        </w:rPr>
        <w:t xml:space="preserve">动火作业前应符合以下要求： </w:t>
      </w:r>
    </w:p>
    <w:p w14:paraId="3DB59624">
      <w:pPr>
        <w:pStyle w:val="133"/>
        <w:rPr>
          <w:rFonts w:hint="eastAsia"/>
          <w:highlight w:val="none"/>
          <w:lang w:val="en-US" w:eastAsia="zh-CN"/>
        </w:rPr>
      </w:pPr>
      <w:r>
        <w:rPr>
          <w:rFonts w:hint="eastAsia"/>
          <w:highlight w:val="none"/>
          <w:lang w:val="en-US" w:eastAsia="zh-CN"/>
        </w:rPr>
        <w:t xml:space="preserve">编制动火作业专项方案，明确作业内容、范围及风险防控措施； </w:t>
      </w:r>
    </w:p>
    <w:p w14:paraId="6790B07E">
      <w:pPr>
        <w:pStyle w:val="133"/>
        <w:rPr>
          <w:rFonts w:hint="eastAsia"/>
          <w:highlight w:val="none"/>
          <w:lang w:val="en-US" w:eastAsia="zh-CN"/>
        </w:rPr>
      </w:pPr>
      <w:r>
        <w:rPr>
          <w:rFonts w:hint="eastAsia"/>
          <w:highlight w:val="none"/>
          <w:lang w:val="en-US" w:eastAsia="zh-CN"/>
        </w:rPr>
        <w:t xml:space="preserve">按规定办理动火作业审批手续，经批准后方可作业； </w:t>
      </w:r>
    </w:p>
    <w:p w14:paraId="4FF38600">
      <w:pPr>
        <w:pStyle w:val="133"/>
        <w:rPr>
          <w:rFonts w:hint="eastAsia"/>
          <w:highlight w:val="none"/>
          <w:lang w:val="en-US" w:eastAsia="zh-CN"/>
        </w:rPr>
      </w:pPr>
      <w:r>
        <w:rPr>
          <w:rFonts w:hint="eastAsia"/>
          <w:highlight w:val="none"/>
          <w:lang w:val="en-US" w:eastAsia="zh-CN"/>
        </w:rPr>
        <w:t>属于重大危险源的动火作业，应按相关规定向有关部门报备。</w:t>
      </w:r>
    </w:p>
    <w:p w14:paraId="164E671F">
      <w:pPr>
        <w:pStyle w:val="165"/>
        <w:rPr>
          <w:rFonts w:hint="eastAsia"/>
          <w:highlight w:val="none"/>
          <w:lang w:val="en-US" w:eastAsia="zh-CN"/>
        </w:rPr>
      </w:pPr>
      <w:r>
        <w:rPr>
          <w:rFonts w:hint="eastAsia"/>
          <w:highlight w:val="none"/>
          <w:lang w:val="en-US" w:eastAsia="zh-CN"/>
        </w:rPr>
        <w:t>动火作业现场应落实以下安全措施：</w:t>
      </w:r>
    </w:p>
    <w:p w14:paraId="516129B9">
      <w:pPr>
        <w:pStyle w:val="133"/>
        <w:rPr>
          <w:rFonts w:hint="eastAsia"/>
          <w:highlight w:val="none"/>
          <w:lang w:val="en-US" w:eastAsia="zh-CN"/>
        </w:rPr>
      </w:pPr>
      <w:r>
        <w:rPr>
          <w:rFonts w:hint="eastAsia"/>
          <w:highlight w:val="none"/>
          <w:lang w:val="en-US" w:eastAsia="zh-CN"/>
        </w:rPr>
        <w:t>明确作业地点、时间、人员及作业类型，设置明显警示标志；</w:t>
      </w:r>
    </w:p>
    <w:p w14:paraId="7002AD23">
      <w:pPr>
        <w:pStyle w:val="133"/>
        <w:rPr>
          <w:rFonts w:hint="eastAsia"/>
          <w:highlight w:val="none"/>
          <w:lang w:val="en-US" w:eastAsia="zh-CN"/>
        </w:rPr>
      </w:pPr>
      <w:r>
        <w:rPr>
          <w:rFonts w:hint="eastAsia"/>
          <w:highlight w:val="none"/>
          <w:lang w:val="en-US" w:eastAsia="zh-CN"/>
        </w:rPr>
        <w:t>彻底清理作业点周围10m范围内的易燃可燃物，无法清理的应采取有效防护措施；</w:t>
      </w:r>
    </w:p>
    <w:p w14:paraId="44DA77A5">
      <w:pPr>
        <w:pStyle w:val="133"/>
        <w:rPr>
          <w:rFonts w:hint="eastAsia"/>
          <w:highlight w:val="none"/>
          <w:lang w:val="en-US" w:eastAsia="zh-CN"/>
        </w:rPr>
      </w:pPr>
      <w:r>
        <w:rPr>
          <w:rFonts w:hint="eastAsia"/>
          <w:highlight w:val="none"/>
          <w:lang w:val="en-US" w:eastAsia="zh-CN"/>
        </w:rPr>
        <w:t>按作业等级配备足够且适用的消防器材，并保持完好有效；</w:t>
      </w:r>
    </w:p>
    <w:p w14:paraId="14907E10">
      <w:pPr>
        <w:pStyle w:val="133"/>
        <w:rPr>
          <w:rFonts w:hint="eastAsia"/>
          <w:highlight w:val="none"/>
          <w:lang w:val="en-US" w:eastAsia="zh-CN"/>
        </w:rPr>
      </w:pPr>
      <w:r>
        <w:rPr>
          <w:rFonts w:hint="eastAsia"/>
          <w:highlight w:val="none"/>
          <w:lang w:val="en-US" w:eastAsia="zh-CN"/>
        </w:rPr>
        <w:t>遇有五级及以上大风天气，应立即停止一切室外动火作业；六级及以上风力时，停止所有动火作业。</w:t>
      </w:r>
    </w:p>
    <w:p w14:paraId="2F451E86">
      <w:pPr>
        <w:pStyle w:val="165"/>
        <w:rPr>
          <w:rFonts w:hint="eastAsia"/>
          <w:lang w:val="en-US" w:eastAsia="zh-CN"/>
        </w:rPr>
      </w:pPr>
      <w:r>
        <w:rPr>
          <w:rFonts w:hint="eastAsia"/>
          <w:highlight w:val="none"/>
          <w:lang w:val="en-US" w:eastAsia="zh-CN"/>
        </w:rPr>
        <w:t>动火作业期间，应设专人全程监护。监护人应经专项培训合格，熟悉应急处置程序，不应擅离职守。作业完成后，监护人应确认现场无遗留火种，方可离开。</w:t>
      </w:r>
    </w:p>
    <w:p w14:paraId="06256A5E">
      <w:pPr>
        <w:pStyle w:val="165"/>
        <w:rPr>
          <w:rFonts w:hint="eastAsia"/>
          <w:lang w:val="en-US" w:eastAsia="zh-CN"/>
        </w:rPr>
      </w:pPr>
      <w:r>
        <w:rPr>
          <w:rFonts w:hint="eastAsia"/>
          <w:lang w:val="en-US" w:eastAsia="zh-CN"/>
        </w:rPr>
        <w:t>每日应对施工现场动火作业进行巡视检查，主要内容包括：</w:t>
      </w:r>
    </w:p>
    <w:p w14:paraId="179E2D45">
      <w:pPr>
        <w:pStyle w:val="133"/>
        <w:rPr>
          <w:rFonts w:hint="eastAsia"/>
          <w:lang w:val="en-US" w:eastAsia="zh-CN"/>
        </w:rPr>
      </w:pPr>
      <w:r>
        <w:rPr>
          <w:rFonts w:hint="eastAsia"/>
          <w:lang w:val="en-US" w:eastAsia="zh-CN"/>
        </w:rPr>
        <w:t>制止违章作业行为；</w:t>
      </w:r>
    </w:p>
    <w:p w14:paraId="4C3DC698">
      <w:pPr>
        <w:pStyle w:val="133"/>
        <w:rPr>
          <w:rFonts w:hint="eastAsia"/>
          <w:lang w:val="en-US" w:eastAsia="zh-CN"/>
        </w:rPr>
      </w:pPr>
      <w:r>
        <w:rPr>
          <w:rFonts w:hint="eastAsia"/>
          <w:lang w:val="en-US" w:eastAsia="zh-CN"/>
        </w:rPr>
        <w:t>发现隐患应立即要求落地整改；</w:t>
      </w:r>
    </w:p>
    <w:p w14:paraId="79CF2D05">
      <w:pPr>
        <w:pStyle w:val="133"/>
        <w:rPr>
          <w:rFonts w:hint="eastAsia"/>
          <w:lang w:val="en-US" w:eastAsia="zh-CN"/>
        </w:rPr>
      </w:pPr>
      <w:r>
        <w:rPr>
          <w:rFonts w:hint="eastAsia"/>
          <w:lang w:val="en-US" w:eastAsia="zh-CN"/>
        </w:rPr>
        <w:t>对情节严重者，应责令暂停施工，并报告建设单位。</w:t>
      </w:r>
    </w:p>
    <w:p w14:paraId="4DCFF5F6">
      <w:pPr>
        <w:pStyle w:val="165"/>
        <w:rPr>
          <w:rFonts w:hint="eastAsia"/>
          <w:lang w:val="en-US" w:eastAsia="zh-CN"/>
        </w:rPr>
      </w:pPr>
      <w:r>
        <w:rPr>
          <w:rFonts w:hint="eastAsia"/>
          <w:lang w:val="en-US" w:eastAsia="zh-CN"/>
        </w:rPr>
        <w:t>应对作业过程进行巡视检查，确保作业人员遵守专项作业方案及安全操作规程。</w:t>
      </w:r>
    </w:p>
    <w:p w14:paraId="5A99E8F2">
      <w:pPr>
        <w:pStyle w:val="165"/>
        <w:rPr>
          <w:rFonts w:hint="eastAsia"/>
          <w:lang w:val="en-US" w:eastAsia="zh-CN"/>
        </w:rPr>
      </w:pPr>
      <w:r>
        <w:rPr>
          <w:rFonts w:hint="eastAsia"/>
          <w:lang w:val="en-US" w:eastAsia="zh-CN"/>
        </w:rPr>
        <w:t>动火作业人员上岗前应接受消防安全教育培训和安全技术交底，并按规定配齐个人防护设备与作业设施。</w:t>
      </w:r>
    </w:p>
    <w:p w14:paraId="055F1B4C">
      <w:pPr>
        <w:pStyle w:val="165"/>
        <w:rPr>
          <w:rFonts w:hint="eastAsia"/>
          <w:lang w:val="en-US" w:eastAsia="zh-CN"/>
        </w:rPr>
      </w:pPr>
      <w:r>
        <w:rPr>
          <w:rFonts w:hint="eastAsia"/>
          <w:lang w:val="en-US" w:eastAsia="zh-CN"/>
        </w:rPr>
        <w:t>每月应组织施工人员开展消防培训与演练，内容应包括：</w:t>
      </w:r>
    </w:p>
    <w:p w14:paraId="5C769750">
      <w:pPr>
        <w:pStyle w:val="133"/>
        <w:rPr>
          <w:rFonts w:hint="eastAsia"/>
          <w:lang w:val="en-US" w:eastAsia="zh-CN"/>
        </w:rPr>
      </w:pPr>
      <w:r>
        <w:rPr>
          <w:rFonts w:hint="eastAsia"/>
          <w:lang w:val="en-US" w:eastAsia="zh-CN"/>
        </w:rPr>
        <w:t>灭火及应急疏散预案；</w:t>
      </w:r>
    </w:p>
    <w:p w14:paraId="62ADDF5F">
      <w:pPr>
        <w:pStyle w:val="133"/>
        <w:rPr>
          <w:rFonts w:hint="eastAsia"/>
          <w:lang w:val="en-US" w:eastAsia="zh-CN"/>
        </w:rPr>
      </w:pPr>
      <w:r>
        <w:rPr>
          <w:rFonts w:hint="eastAsia"/>
          <w:lang w:val="en-US" w:eastAsia="zh-CN"/>
        </w:rPr>
        <w:t>消防设施器材的使用；</w:t>
      </w:r>
    </w:p>
    <w:p w14:paraId="54570B3E">
      <w:pPr>
        <w:pStyle w:val="133"/>
        <w:rPr>
          <w:rFonts w:hint="eastAsia"/>
          <w:lang w:val="en-US" w:eastAsia="zh-CN"/>
        </w:rPr>
      </w:pPr>
      <w:r>
        <w:rPr>
          <w:rFonts w:hint="eastAsia"/>
          <w:lang w:val="en-US" w:eastAsia="zh-CN"/>
        </w:rPr>
        <w:t>初起火灾扑救；</w:t>
      </w:r>
    </w:p>
    <w:p w14:paraId="7D86DB55">
      <w:pPr>
        <w:pStyle w:val="133"/>
        <w:rPr>
          <w:rFonts w:hint="eastAsia"/>
          <w:lang w:val="en-US" w:eastAsia="zh-CN"/>
        </w:rPr>
      </w:pPr>
      <w:r>
        <w:rPr>
          <w:rFonts w:hint="eastAsia"/>
          <w:lang w:val="en-US" w:eastAsia="zh-CN"/>
        </w:rPr>
        <w:t>自救逃生知识与报警程序。</w:t>
      </w:r>
    </w:p>
    <w:p w14:paraId="3FB6A373">
      <w:pPr>
        <w:pStyle w:val="66"/>
        <w:spacing w:before="120" w:after="120"/>
      </w:pPr>
      <w:r>
        <w:rPr>
          <w:rFonts w:hint="eastAsia"/>
        </w:rPr>
        <w:t>现场警示标识及器材设施设置</w:t>
      </w:r>
    </w:p>
    <w:p w14:paraId="4F94F5AF">
      <w:pPr>
        <w:pStyle w:val="165"/>
        <w:rPr>
          <w:rFonts w:hint="eastAsia"/>
          <w:lang w:val="en-US" w:eastAsia="zh-CN"/>
        </w:rPr>
      </w:pPr>
      <w:r>
        <w:rPr>
          <w:rFonts w:hint="eastAsia"/>
          <w:lang w:val="en-US" w:eastAsia="zh-CN"/>
        </w:rPr>
        <w:t>6.2.2.1　动火作业区域应在醒目位置设置安全警示标识，并符合以下要求：</w:t>
      </w:r>
    </w:p>
    <w:p w14:paraId="51EE3682">
      <w:pPr>
        <w:pStyle w:val="133"/>
        <w:rPr>
          <w:rFonts w:hint="eastAsia"/>
          <w:lang w:val="en-US" w:eastAsia="zh-CN"/>
        </w:rPr>
      </w:pPr>
      <w:r>
        <w:rPr>
          <w:rFonts w:hint="eastAsia"/>
          <w:lang w:val="en-US" w:eastAsia="zh-CN"/>
        </w:rPr>
        <w:t>设置"动火作业区，严禁烟火"等安全告知牌；</w:t>
      </w:r>
    </w:p>
    <w:p w14:paraId="28DC209D">
      <w:pPr>
        <w:pStyle w:val="133"/>
        <w:rPr>
          <w:rFonts w:hint="eastAsia"/>
          <w:lang w:val="en-US" w:eastAsia="zh-CN"/>
        </w:rPr>
      </w:pPr>
      <w:r>
        <w:rPr>
          <w:rFonts w:hint="eastAsia"/>
          <w:lang w:val="en-US" w:eastAsia="zh-CN"/>
        </w:rPr>
        <w:t>标明动火作业级别、有效期、作业单位、监护人及联系电话；</w:t>
      </w:r>
    </w:p>
    <w:p w14:paraId="5EE51A23">
      <w:pPr>
        <w:pStyle w:val="133"/>
        <w:rPr>
          <w:rFonts w:hint="eastAsia"/>
          <w:lang w:val="en-US" w:eastAsia="zh-CN"/>
        </w:rPr>
      </w:pPr>
      <w:r>
        <w:rPr>
          <w:rFonts w:hint="eastAsia"/>
          <w:lang w:val="en-US" w:eastAsia="zh-CN"/>
        </w:rPr>
        <w:t>标识应固定牢靠，位置明显，夜间应具备反光或照明功能。</w:t>
      </w:r>
    </w:p>
    <w:p w14:paraId="0AC727C7">
      <w:pPr>
        <w:pStyle w:val="165"/>
        <w:rPr>
          <w:rFonts w:hint="eastAsia"/>
          <w:lang w:val="en-US" w:eastAsia="zh-CN"/>
        </w:rPr>
      </w:pPr>
      <w:r>
        <w:rPr>
          <w:rFonts w:hint="eastAsia"/>
          <w:lang w:val="en-US" w:eastAsia="zh-CN"/>
        </w:rPr>
        <w:t>6.2.2.2　警示标识的检查与维护应符合以下规定：</w:t>
      </w:r>
    </w:p>
    <w:p w14:paraId="445D11EF">
      <w:pPr>
        <w:pStyle w:val="133"/>
        <w:rPr>
          <w:rFonts w:hint="eastAsia"/>
          <w:lang w:val="en-US" w:eastAsia="zh-CN"/>
        </w:rPr>
      </w:pPr>
      <w:r>
        <w:rPr>
          <w:rFonts w:hint="eastAsia"/>
          <w:lang w:val="en-US" w:eastAsia="zh-CN"/>
        </w:rPr>
        <w:t>作业期间监护人应每日检查标识完好情况；</w:t>
      </w:r>
    </w:p>
    <w:p w14:paraId="2901B03A">
      <w:pPr>
        <w:pStyle w:val="133"/>
        <w:rPr>
          <w:rFonts w:hint="eastAsia"/>
          <w:lang w:val="en-US" w:eastAsia="zh-CN"/>
        </w:rPr>
      </w:pPr>
      <w:r>
        <w:rPr>
          <w:rFonts w:hint="eastAsia"/>
          <w:lang w:val="en-US" w:eastAsia="zh-CN"/>
        </w:rPr>
        <w:t>发现标识污损、脱落或内容不清时，应立即修复或更换；</w:t>
      </w:r>
    </w:p>
    <w:p w14:paraId="162F963A">
      <w:pPr>
        <w:pStyle w:val="133"/>
        <w:rPr>
          <w:rFonts w:hint="eastAsia"/>
          <w:lang w:val="en-US" w:eastAsia="zh-CN"/>
        </w:rPr>
      </w:pPr>
      <w:r>
        <w:rPr>
          <w:rFonts w:hint="eastAsia"/>
          <w:lang w:val="en-US" w:eastAsia="zh-CN"/>
        </w:rPr>
        <w:t>建立巡检记录台账，记录检查时间、检查人及处置情况。</w:t>
      </w:r>
    </w:p>
    <w:p w14:paraId="20AC5EA6">
      <w:pPr>
        <w:pStyle w:val="165"/>
        <w:rPr>
          <w:rFonts w:hint="eastAsia"/>
          <w:lang w:val="en-US" w:eastAsia="zh-CN"/>
        </w:rPr>
      </w:pPr>
      <w:r>
        <w:rPr>
          <w:rFonts w:hint="eastAsia"/>
          <w:lang w:val="en-US" w:eastAsia="zh-CN"/>
        </w:rPr>
        <w:t>6.2.2.3　动火作业现场消防器材配备应满足以下要求：</w:t>
      </w:r>
    </w:p>
    <w:p w14:paraId="0BF346F2">
      <w:pPr>
        <w:pStyle w:val="133"/>
        <w:rPr>
          <w:rFonts w:hint="eastAsia"/>
          <w:lang w:val="en-US" w:eastAsia="zh-CN"/>
        </w:rPr>
      </w:pPr>
      <w:r>
        <w:rPr>
          <w:rFonts w:hint="eastAsia"/>
          <w:lang w:val="en-US" w:eastAsia="zh-CN"/>
        </w:rPr>
        <w:t>每个作业点位应按作业等级和风险程度配备适用的消防器材；</w:t>
      </w:r>
    </w:p>
    <w:p w14:paraId="38E57F87">
      <w:pPr>
        <w:pStyle w:val="133"/>
        <w:rPr>
          <w:rFonts w:hint="eastAsia"/>
          <w:lang w:val="en-US" w:eastAsia="zh-CN"/>
        </w:rPr>
      </w:pPr>
      <w:r>
        <w:rPr>
          <w:rFonts w:hint="eastAsia"/>
          <w:lang w:val="en-US" w:eastAsia="zh-CN"/>
        </w:rPr>
        <w:t>器材应定点存放，设置明显标识，不得随意挪用；</w:t>
      </w:r>
    </w:p>
    <w:p w14:paraId="59B837FB">
      <w:pPr>
        <w:pStyle w:val="133"/>
        <w:rPr>
          <w:rFonts w:hint="eastAsia"/>
          <w:lang w:val="en-US" w:eastAsia="zh-CN"/>
        </w:rPr>
      </w:pPr>
      <w:r>
        <w:rPr>
          <w:rFonts w:hint="eastAsia"/>
          <w:lang w:val="en-US" w:eastAsia="zh-CN"/>
        </w:rPr>
        <w:t>作业前应对器材完好性进行检查，确保其在有效期内并随时可用。</w:t>
      </w:r>
    </w:p>
    <w:p w14:paraId="4B6D97E2">
      <w:pPr>
        <w:pStyle w:val="165"/>
        <w:rPr>
          <w:rFonts w:hint="eastAsia"/>
          <w:lang w:val="en-US" w:eastAsia="zh-CN"/>
        </w:rPr>
      </w:pPr>
      <w:r>
        <w:rPr>
          <w:rFonts w:hint="eastAsia"/>
          <w:lang w:val="en-US" w:eastAsia="zh-CN"/>
        </w:rPr>
        <w:t>6.2.2.4　灭火器配置应符合现行国家标准规定，并满足下列技术要求：</w:t>
      </w:r>
    </w:p>
    <w:p w14:paraId="7893244E">
      <w:pPr>
        <w:pStyle w:val="133"/>
        <w:rPr>
          <w:rFonts w:hint="eastAsia"/>
          <w:lang w:val="en-US" w:eastAsia="zh-CN"/>
        </w:rPr>
      </w:pPr>
      <w:r>
        <w:rPr>
          <w:rFonts w:hint="eastAsia"/>
          <w:lang w:val="en-US" w:eastAsia="zh-CN"/>
        </w:rPr>
        <w:t>应根据动火作业可能引发的火灾类型（A类、B类、C类、E类）配置相应类型的灭火器，包括干粉、水基和（或）二氧化碳灭火器；</w:t>
      </w:r>
    </w:p>
    <w:p w14:paraId="4605C074">
      <w:pPr>
        <w:pStyle w:val="133"/>
        <w:rPr>
          <w:rFonts w:hint="eastAsia"/>
          <w:lang w:val="en-US" w:eastAsia="zh-CN"/>
        </w:rPr>
      </w:pPr>
      <w:r>
        <w:rPr>
          <w:rFonts w:hint="eastAsia"/>
          <w:lang w:val="en-US" w:eastAsia="zh-CN"/>
        </w:rPr>
        <w:t>灭火器设置数量应满足现场初期火灾扑救需要，每个作业点保护半径不应超过10m，超过时应增设灭火器配置点；</w:t>
      </w:r>
    </w:p>
    <w:p w14:paraId="34666BBC">
      <w:pPr>
        <w:pStyle w:val="133"/>
        <w:rPr>
          <w:rFonts w:hint="eastAsia"/>
          <w:lang w:val="en-US" w:eastAsia="zh-CN"/>
        </w:rPr>
      </w:pPr>
      <w:r>
        <w:rPr>
          <w:rFonts w:hint="eastAsia"/>
          <w:lang w:val="en-US" w:eastAsia="zh-CN"/>
        </w:rPr>
        <w:t>电气设备、精密仪器动火作业区域应配置二氧化碳或洁净气体灭火器；</w:t>
      </w:r>
    </w:p>
    <w:p w14:paraId="4D980E64">
      <w:pPr>
        <w:pStyle w:val="133"/>
        <w:rPr>
          <w:rFonts w:hint="eastAsia"/>
          <w:lang w:val="en-US" w:eastAsia="zh-CN"/>
        </w:rPr>
      </w:pPr>
      <w:r>
        <w:rPr>
          <w:rFonts w:hint="eastAsia"/>
          <w:lang w:val="en-US" w:eastAsia="zh-CN"/>
        </w:rPr>
        <w:t>每组灭火器不应少于2具，作业面积大于50㎡时应按标准增加配置数量；</w:t>
      </w:r>
    </w:p>
    <w:p w14:paraId="5A4DCBFE">
      <w:pPr>
        <w:pStyle w:val="133"/>
        <w:rPr>
          <w:rFonts w:hint="eastAsia"/>
          <w:lang w:val="en-US" w:eastAsia="zh-CN"/>
        </w:rPr>
      </w:pPr>
      <w:r>
        <w:rPr>
          <w:rFonts w:hint="eastAsia"/>
          <w:lang w:val="en-US" w:eastAsia="zh-CN"/>
        </w:rPr>
        <w:t>灭火器材应在有效期内，压力正常，铅封完好，定期维护保养并有检查记录。</w:t>
      </w:r>
    </w:p>
    <w:p w14:paraId="1EAA4148">
      <w:pPr>
        <w:pStyle w:val="66"/>
        <w:spacing w:before="120" w:after="120"/>
      </w:pPr>
      <w:r>
        <w:rPr>
          <w:rFonts w:hint="eastAsia"/>
        </w:rPr>
        <w:t>作业过程管理</w:t>
      </w:r>
    </w:p>
    <w:p w14:paraId="0A0CBF3E">
      <w:pPr>
        <w:pStyle w:val="165"/>
        <w:rPr>
          <w:rFonts w:hint="eastAsia"/>
          <w:lang w:val="en-US" w:eastAsia="zh-CN"/>
        </w:rPr>
      </w:pPr>
      <w:r>
        <w:rPr>
          <w:rFonts w:hint="eastAsia"/>
          <w:lang w:val="en-US" w:eastAsia="zh-CN"/>
        </w:rPr>
        <w:t>应严格执行动火作业审批制度，作业前应填写并审批动火作业审批表，审批表格式见附录L。</w:t>
      </w:r>
    </w:p>
    <w:p w14:paraId="64569F67">
      <w:pPr>
        <w:pStyle w:val="165"/>
        <w:rPr>
          <w:rFonts w:hint="eastAsia"/>
          <w:lang w:val="en-US" w:eastAsia="zh-CN"/>
        </w:rPr>
      </w:pPr>
      <w:r>
        <w:rPr>
          <w:rFonts w:hint="eastAsia"/>
          <w:lang w:val="en-US" w:eastAsia="zh-CN"/>
        </w:rPr>
        <w:t>应安排具备监护资格的看护人进行全程监护。</w:t>
      </w:r>
    </w:p>
    <w:p w14:paraId="5B2B2B78">
      <w:pPr>
        <w:pStyle w:val="165"/>
        <w:rPr>
          <w:rFonts w:hint="eastAsia"/>
          <w:lang w:val="en-US" w:eastAsia="zh-CN"/>
        </w:rPr>
      </w:pPr>
      <w:r>
        <w:rPr>
          <w:rFonts w:hint="eastAsia"/>
          <w:lang w:val="en-US" w:eastAsia="zh-CN"/>
        </w:rPr>
        <w:t>焊接与热切割作业人员应持有有效的特种作业操作证。</w:t>
      </w:r>
    </w:p>
    <w:p w14:paraId="561BBC80">
      <w:pPr>
        <w:pStyle w:val="165"/>
        <w:rPr>
          <w:rFonts w:hint="eastAsia"/>
          <w:lang w:val="en-US" w:eastAsia="zh-CN"/>
        </w:rPr>
      </w:pPr>
      <w:r>
        <w:rPr>
          <w:rFonts w:hint="eastAsia"/>
          <w:lang w:val="en-US" w:eastAsia="zh-CN"/>
        </w:rPr>
        <w:t>作业现场应配置完好有效的消防器材，视频监控系统应处于正常运行状态。</w:t>
      </w:r>
    </w:p>
    <w:p w14:paraId="3C338ACB">
      <w:pPr>
        <w:pStyle w:val="165"/>
        <w:rPr>
          <w:rFonts w:hint="eastAsia"/>
          <w:lang w:val="en-US" w:eastAsia="zh-CN"/>
        </w:rPr>
      </w:pPr>
      <w:r>
        <w:rPr>
          <w:rFonts w:hint="eastAsia"/>
          <w:lang w:val="en-US" w:eastAsia="zh-CN"/>
        </w:rPr>
        <w:t>作业前应彻底清理作业区域及周边可燃物、易燃物。</w:t>
      </w:r>
    </w:p>
    <w:p w14:paraId="501FAD12">
      <w:pPr>
        <w:pStyle w:val="165"/>
        <w:rPr>
          <w:rFonts w:hint="eastAsia"/>
          <w:lang w:val="en-US" w:eastAsia="zh-CN"/>
        </w:rPr>
      </w:pPr>
      <w:r>
        <w:rPr>
          <w:rFonts w:hint="eastAsia"/>
          <w:lang w:val="en-US" w:eastAsia="zh-CN"/>
        </w:rPr>
        <w:t>应在“企安安”系统完成动火作业事前报备。</w:t>
      </w:r>
    </w:p>
    <w:p w14:paraId="689BC3A5">
      <w:pPr>
        <w:pStyle w:val="165"/>
        <w:rPr>
          <w:rFonts w:hint="eastAsia"/>
          <w:lang w:val="en-US" w:eastAsia="zh-CN"/>
        </w:rPr>
      </w:pPr>
      <w:r>
        <w:rPr>
          <w:rFonts w:hint="eastAsia"/>
          <w:lang w:val="en-US" w:eastAsia="zh-CN"/>
        </w:rPr>
        <w:t>动火作业期间，应加强现场安全管理。</w:t>
      </w:r>
    </w:p>
    <w:p w14:paraId="152CB10A">
      <w:pPr>
        <w:pStyle w:val="165"/>
        <w:rPr>
          <w:rFonts w:hint="eastAsia"/>
          <w:lang w:val="en-US" w:eastAsia="zh-CN"/>
        </w:rPr>
      </w:pPr>
      <w:r>
        <w:rPr>
          <w:rFonts w:hint="eastAsia"/>
          <w:lang w:val="en-US" w:eastAsia="zh-CN"/>
        </w:rPr>
        <w:t>应通过实时视频监控系统，动态分析作业过程中危险因素的变化情况。</w:t>
      </w:r>
    </w:p>
    <w:p w14:paraId="645EFE4D">
      <w:pPr>
        <w:pStyle w:val="165"/>
        <w:rPr>
          <w:rFonts w:hint="eastAsia"/>
          <w:lang w:val="en-US" w:eastAsia="zh-CN"/>
        </w:rPr>
      </w:pPr>
      <w:r>
        <w:rPr>
          <w:rFonts w:hint="eastAsia"/>
          <w:lang w:val="en-US" w:eastAsia="zh-CN"/>
        </w:rPr>
        <w:t>应核查作业人员安全行为及消防器材、监控设施等的运行状态。</w:t>
      </w:r>
    </w:p>
    <w:p w14:paraId="18EF581A">
      <w:pPr>
        <w:pStyle w:val="165"/>
        <w:rPr>
          <w:rFonts w:hint="eastAsia"/>
          <w:lang w:val="en-US" w:eastAsia="zh-CN"/>
        </w:rPr>
      </w:pPr>
      <w:r>
        <w:rPr>
          <w:rFonts w:hint="eastAsia"/>
          <w:lang w:val="en-US" w:eastAsia="zh-CN"/>
        </w:rPr>
        <w:t>应及时排查并消除现场安全隐患。</w:t>
      </w:r>
    </w:p>
    <w:p w14:paraId="3C0FEBD6">
      <w:pPr>
        <w:pStyle w:val="165"/>
        <w:rPr>
          <w:rFonts w:hint="eastAsia"/>
          <w:lang w:val="en-US" w:eastAsia="zh-CN"/>
        </w:rPr>
      </w:pPr>
      <w:r>
        <w:rPr>
          <w:rFonts w:hint="eastAsia"/>
          <w:lang w:val="en-US" w:eastAsia="zh-CN"/>
        </w:rPr>
        <w:t>作业完成后，现场负责人应检查作业区域是否残留火种、火花等点火源。</w:t>
      </w:r>
    </w:p>
    <w:p w14:paraId="440D6BEF">
      <w:pPr>
        <w:pStyle w:val="165"/>
        <w:rPr>
          <w:rFonts w:hint="eastAsia"/>
          <w:lang w:val="en-US" w:eastAsia="zh-CN"/>
        </w:rPr>
      </w:pPr>
      <w:r>
        <w:rPr>
          <w:rFonts w:hint="eastAsia"/>
          <w:lang w:val="en-US" w:eastAsia="zh-CN"/>
        </w:rPr>
        <w:t>检查无误后，应持续观察现场不少于30分钟，确认无异常后方可离场。</w:t>
      </w:r>
    </w:p>
    <w:p w14:paraId="5B169621">
      <w:pPr>
        <w:pStyle w:val="165"/>
        <w:rPr>
          <w:rFonts w:hint="eastAsia"/>
          <w:lang w:val="en-US" w:eastAsia="zh-CN"/>
        </w:rPr>
      </w:pPr>
      <w:r>
        <w:rPr>
          <w:rFonts w:hint="eastAsia"/>
          <w:lang w:val="en-US" w:eastAsia="zh-CN"/>
        </w:rPr>
        <w:t>应在“企安安”系统中上报动火作业结束信息，并上传作业结束后的现场照片。</w:t>
      </w:r>
    </w:p>
    <w:p w14:paraId="3C1076C4">
      <w:pPr>
        <w:pStyle w:val="165"/>
        <w:rPr>
          <w:rFonts w:hint="eastAsia"/>
          <w:highlight w:val="none"/>
          <w:lang w:val="en-US" w:eastAsia="zh-CN"/>
        </w:rPr>
      </w:pPr>
      <w:r>
        <w:rPr>
          <w:rFonts w:hint="eastAsia"/>
          <w:highlight w:val="none"/>
          <w:lang w:val="en-US" w:eastAsia="zh-CN"/>
        </w:rPr>
        <w:t>动火作业结束后应及时完善《动火作业审批表》内结束动火作业相关信息并归档留存。</w:t>
      </w:r>
    </w:p>
    <w:p w14:paraId="1FB09328">
      <w:pPr>
        <w:pStyle w:val="66"/>
        <w:spacing w:before="120" w:after="120"/>
        <w:rPr>
          <w:rFonts w:hint="eastAsia"/>
          <w:highlight w:val="none"/>
        </w:rPr>
      </w:pPr>
      <w:r>
        <w:rPr>
          <w:rFonts w:hint="eastAsia"/>
          <w:highlight w:val="none"/>
        </w:rPr>
        <w:t>电焊机安全规范</w:t>
      </w:r>
    </w:p>
    <w:p w14:paraId="237A4745">
      <w:pPr>
        <w:pStyle w:val="165"/>
        <w:rPr>
          <w:rFonts w:hint="eastAsia"/>
          <w:highlight w:val="none"/>
          <w:lang w:val="en-US" w:eastAsia="zh-CN"/>
        </w:rPr>
      </w:pPr>
      <w:r>
        <w:rPr>
          <w:rFonts w:hint="eastAsia"/>
          <w:highlight w:val="none"/>
          <w:lang w:val="en-US" w:eastAsia="zh-CN"/>
        </w:rPr>
        <w:t>电焊机的使用应符合下列要求：</w:t>
      </w:r>
    </w:p>
    <w:p w14:paraId="188A5F73">
      <w:pPr>
        <w:pStyle w:val="133"/>
        <w:rPr>
          <w:rFonts w:hint="eastAsia"/>
          <w:highlight w:val="none"/>
          <w:lang w:val="en-US" w:eastAsia="zh-CN"/>
        </w:rPr>
      </w:pPr>
      <w:r>
        <w:rPr>
          <w:rFonts w:hint="eastAsia"/>
          <w:highlight w:val="none"/>
          <w:lang w:val="en-US" w:eastAsia="zh-CN"/>
        </w:rPr>
        <w:t>电焊机外壳应可靠接地（PE）保护，不应以金属构件或结构钢筋作为接地线；</w:t>
      </w:r>
    </w:p>
    <w:p w14:paraId="4BE51BE4">
      <w:pPr>
        <w:pStyle w:val="133"/>
        <w:rPr>
          <w:rFonts w:hint="eastAsia"/>
          <w:highlight w:val="none"/>
          <w:lang w:val="en-US" w:eastAsia="zh-CN"/>
        </w:rPr>
      </w:pPr>
      <w:r>
        <w:rPr>
          <w:rFonts w:hint="eastAsia"/>
          <w:highlight w:val="none"/>
          <w:lang w:val="en-US" w:eastAsia="zh-CN"/>
        </w:rPr>
        <w:t>每台电焊机应配置独立的专用电源开关，并应装设匹配的漏电保护器；</w:t>
      </w:r>
    </w:p>
    <w:p w14:paraId="3445B085">
      <w:pPr>
        <w:pStyle w:val="133"/>
        <w:rPr>
          <w:rFonts w:hint="eastAsia"/>
          <w:highlight w:val="none"/>
          <w:lang w:val="en-US" w:eastAsia="zh-CN"/>
        </w:rPr>
      </w:pPr>
      <w:r>
        <w:rPr>
          <w:rFonts w:hint="eastAsia"/>
          <w:highlight w:val="none"/>
          <w:lang w:val="en-US" w:eastAsia="zh-CN"/>
        </w:rPr>
        <w:t>电焊机一次侧电源线长度不应超过5m；</w:t>
      </w:r>
    </w:p>
    <w:p w14:paraId="4C1C89DC">
      <w:pPr>
        <w:pStyle w:val="133"/>
        <w:rPr>
          <w:rFonts w:hint="eastAsia"/>
          <w:highlight w:val="none"/>
          <w:lang w:val="en-US" w:eastAsia="zh-CN"/>
        </w:rPr>
      </w:pPr>
      <w:r>
        <w:rPr>
          <w:rFonts w:hint="eastAsia"/>
          <w:highlight w:val="none"/>
          <w:lang w:val="en-US" w:eastAsia="zh-CN"/>
        </w:rPr>
        <w:t>二次侧焊把线应采用防水型橡皮护套铜芯软电缆，其长度不宜超过30m。</w:t>
      </w:r>
    </w:p>
    <w:p w14:paraId="6668C5D0">
      <w:pPr>
        <w:pStyle w:val="66"/>
        <w:spacing w:before="120" w:after="120"/>
        <w:rPr>
          <w:rFonts w:hint="eastAsia"/>
          <w:highlight w:val="none"/>
        </w:rPr>
      </w:pPr>
      <w:r>
        <w:rPr>
          <w:rFonts w:hint="eastAsia"/>
          <w:highlight w:val="none"/>
        </w:rPr>
        <w:t>气瓶运输、储存及使用规范</w:t>
      </w:r>
    </w:p>
    <w:p w14:paraId="620A1E40">
      <w:pPr>
        <w:pStyle w:val="165"/>
        <w:rPr>
          <w:rFonts w:hint="eastAsia"/>
          <w:lang w:val="en-US" w:eastAsia="zh-CN"/>
        </w:rPr>
      </w:pPr>
      <w:r>
        <w:rPr>
          <w:rFonts w:hint="eastAsia"/>
          <w:lang w:val="en-US" w:eastAsia="zh-CN"/>
        </w:rPr>
        <w:t>气瓶的运输与存放应符合下列要求：</w:t>
      </w:r>
    </w:p>
    <w:p w14:paraId="09264776">
      <w:pPr>
        <w:pStyle w:val="133"/>
        <w:rPr>
          <w:rFonts w:hint="eastAsia"/>
          <w:lang w:val="en-US" w:eastAsia="zh-CN"/>
        </w:rPr>
      </w:pPr>
      <w:r>
        <w:rPr>
          <w:rFonts w:hint="eastAsia"/>
          <w:lang w:val="en-US" w:eastAsia="zh-CN"/>
        </w:rPr>
        <w:t>运输时气瓶应配置瓶帽，并采取可靠的固定措施，搬运应轻装轻卸，不应抛、滑、滚或碰撞；</w:t>
      </w:r>
    </w:p>
    <w:p w14:paraId="72655D66">
      <w:pPr>
        <w:pStyle w:val="133"/>
        <w:rPr>
          <w:rFonts w:hint="eastAsia"/>
          <w:lang w:val="en-US" w:eastAsia="zh-CN"/>
        </w:rPr>
      </w:pPr>
      <w:r>
        <w:rPr>
          <w:rFonts w:hint="eastAsia"/>
          <w:lang w:val="en-US" w:eastAsia="zh-CN"/>
        </w:rPr>
        <w:t>气瓶应直立运输与存放，不应卧放；</w:t>
      </w:r>
    </w:p>
    <w:p w14:paraId="419A8FED">
      <w:pPr>
        <w:pStyle w:val="133"/>
        <w:rPr>
          <w:rFonts w:hint="eastAsia"/>
          <w:lang w:val="en-US" w:eastAsia="zh-CN"/>
        </w:rPr>
      </w:pPr>
      <w:r>
        <w:rPr>
          <w:rFonts w:hint="eastAsia"/>
          <w:lang w:val="en-US" w:eastAsia="zh-CN"/>
        </w:rPr>
        <w:t>氧气瓶与乙炔瓶不应同车混装运输；</w:t>
      </w:r>
    </w:p>
    <w:p w14:paraId="7533D30C">
      <w:pPr>
        <w:pStyle w:val="133"/>
        <w:rPr>
          <w:rFonts w:hint="eastAsia"/>
          <w:lang w:val="en-US" w:eastAsia="zh-CN"/>
        </w:rPr>
      </w:pPr>
      <w:r>
        <w:rPr>
          <w:rFonts w:hint="eastAsia"/>
          <w:lang w:val="en-US" w:eastAsia="zh-CN"/>
        </w:rPr>
        <w:t>乙炔瓶与氧气瓶之间的存放及作业间距均应大于5m；</w:t>
      </w:r>
    </w:p>
    <w:p w14:paraId="4A9D713C">
      <w:pPr>
        <w:pStyle w:val="133"/>
        <w:rPr>
          <w:rFonts w:hint="eastAsia"/>
          <w:lang w:val="en-US" w:eastAsia="zh-CN"/>
        </w:rPr>
      </w:pPr>
      <w:r>
        <w:rPr>
          <w:rFonts w:hint="eastAsia"/>
          <w:lang w:val="en-US" w:eastAsia="zh-CN"/>
        </w:rPr>
        <w:t>气瓶与明火或焊割作业点的安全距离应大于10m。</w:t>
      </w:r>
    </w:p>
    <w:p w14:paraId="1D90B3F5">
      <w:pPr>
        <w:pStyle w:val="106"/>
        <w:spacing w:before="120" w:after="120"/>
      </w:pPr>
      <w:bookmarkStart w:id="76" w:name="_Toc12245"/>
      <w:r>
        <w:rPr>
          <w:rFonts w:hint="eastAsia"/>
        </w:rPr>
        <w:t>有限空间作业管理</w:t>
      </w:r>
      <w:bookmarkEnd w:id="76"/>
    </w:p>
    <w:p w14:paraId="535488DB">
      <w:pPr>
        <w:pStyle w:val="66"/>
        <w:spacing w:before="120" w:after="120"/>
      </w:pPr>
      <w:r>
        <w:rPr>
          <w:rFonts w:hint="eastAsia"/>
          <w:lang w:val="en-US" w:eastAsia="zh-CN"/>
        </w:rPr>
        <w:t>一般规定</w:t>
      </w:r>
    </w:p>
    <w:p w14:paraId="56848CC9">
      <w:pPr>
        <w:pStyle w:val="165"/>
        <w:rPr>
          <w:rFonts w:hint="eastAsia"/>
          <w:lang w:val="en-US" w:eastAsia="zh-CN"/>
        </w:rPr>
      </w:pPr>
      <w:r>
        <w:rPr>
          <w:rFonts w:hint="eastAsia"/>
          <w:lang w:val="en-US" w:eastAsia="zh-CN"/>
        </w:rPr>
        <w:t>热力工程中常见的有限空间作业包括但不限于隧道、管沟、检查室（井）等场所内的施工作业。</w:t>
      </w:r>
    </w:p>
    <w:p w14:paraId="45763C94">
      <w:pPr>
        <w:pStyle w:val="165"/>
        <w:rPr>
          <w:rFonts w:hint="eastAsia"/>
          <w:lang w:val="en-US" w:eastAsia="zh-CN"/>
        </w:rPr>
      </w:pPr>
      <w:r>
        <w:rPr>
          <w:rFonts w:hint="eastAsia"/>
          <w:lang w:val="en-US" w:eastAsia="zh-CN"/>
        </w:rPr>
        <w:t>项目开工前，应对施工现场可能涉及的有限空间作业场景进行辨识，并在显著位置设置安全警示标识。</w:t>
      </w:r>
    </w:p>
    <w:p w14:paraId="6069A162">
      <w:pPr>
        <w:pStyle w:val="165"/>
        <w:rPr>
          <w:rFonts w:hint="eastAsia"/>
          <w:highlight w:val="none"/>
          <w:lang w:val="en-US" w:eastAsia="zh-CN"/>
        </w:rPr>
      </w:pPr>
      <w:r>
        <w:rPr>
          <w:rFonts w:hint="eastAsia"/>
          <w:highlight w:val="none"/>
          <w:lang w:val="en-US" w:eastAsia="zh-CN"/>
        </w:rPr>
        <w:t>应针对辨识出的有限空间作业场景进行风险评估，编制专项施工方案或安全技术措施。</w:t>
      </w:r>
    </w:p>
    <w:p w14:paraId="2CCA11A0">
      <w:pPr>
        <w:pStyle w:val="165"/>
        <w:rPr>
          <w:rFonts w:hint="eastAsia"/>
          <w:color w:val="auto"/>
          <w:highlight w:val="none"/>
          <w:lang w:val="en-US" w:eastAsia="zh-CN"/>
        </w:rPr>
      </w:pPr>
      <w:r>
        <w:rPr>
          <w:rFonts w:hint="eastAsia"/>
          <w:highlight w:val="none"/>
          <w:lang w:val="en-US" w:eastAsia="zh-CN"/>
        </w:rPr>
        <w:t>应建立有限空间作业管理台账</w:t>
      </w:r>
      <w:r>
        <w:rPr>
          <w:rFonts w:hint="eastAsia"/>
          <w:color w:val="auto"/>
          <w:highlight w:val="none"/>
          <w:lang w:val="en-US" w:eastAsia="zh-CN"/>
        </w:rPr>
        <w:t>，应包括有限空间名称、位置、主要危险因素、作业审批、设备设施配备情况等。</w:t>
      </w:r>
    </w:p>
    <w:p w14:paraId="5D5E4BFC">
      <w:pPr>
        <w:pStyle w:val="165"/>
        <w:rPr>
          <w:rFonts w:hint="eastAsia"/>
          <w:highlight w:val="none"/>
          <w:lang w:val="en-US" w:eastAsia="zh-CN"/>
        </w:rPr>
      </w:pPr>
      <w:r>
        <w:rPr>
          <w:rFonts w:hint="eastAsia"/>
          <w:highlight w:val="none"/>
          <w:lang w:val="en-US" w:eastAsia="zh-CN"/>
        </w:rPr>
        <w:t>作业前应对所有涉及有限空间作业的人员进行专项安全教育培训，经考核合格后方可上岗，有限空间作业监护人需持证上岗。</w:t>
      </w:r>
    </w:p>
    <w:p w14:paraId="7AC83D30">
      <w:pPr>
        <w:pStyle w:val="165"/>
        <w:rPr>
          <w:rFonts w:hint="eastAsia"/>
          <w:highlight w:val="none"/>
          <w:lang w:val="en-US" w:eastAsia="zh-CN"/>
        </w:rPr>
      </w:pPr>
      <w:r>
        <w:rPr>
          <w:rFonts w:hint="eastAsia"/>
          <w:highlight w:val="none"/>
          <w:lang w:val="en-US" w:eastAsia="zh-CN"/>
        </w:rPr>
        <w:t>作业前应对作业人员进行安全交底，交底内容应包括作业方案、作业风险、安全措施、应急处理等，并保留签字记录。</w:t>
      </w:r>
    </w:p>
    <w:p w14:paraId="33214391">
      <w:pPr>
        <w:pStyle w:val="66"/>
        <w:spacing w:before="120" w:after="120"/>
      </w:pPr>
      <w:r>
        <w:rPr>
          <w:rFonts w:hint="eastAsia"/>
        </w:rPr>
        <w:t>现场警示标识及设备设施配备</w:t>
      </w:r>
    </w:p>
    <w:p w14:paraId="546D59F6">
      <w:pPr>
        <w:pStyle w:val="165"/>
        <w:rPr>
          <w:rFonts w:hint="eastAsia"/>
          <w:lang w:val="en-US" w:eastAsia="zh-CN"/>
        </w:rPr>
      </w:pPr>
      <w:r>
        <w:rPr>
          <w:rFonts w:hint="eastAsia"/>
          <w:lang w:val="en-US" w:eastAsia="zh-CN"/>
        </w:rPr>
        <w:t>应在有限空间作业现场设置封闭作业区域，作业入口处或醒目位置设置安全警示牌。</w:t>
      </w:r>
    </w:p>
    <w:p w14:paraId="01B509B5">
      <w:pPr>
        <w:pStyle w:val="165"/>
        <w:rPr>
          <w:rFonts w:hint="eastAsia"/>
          <w:highlight w:val="none"/>
          <w:lang w:val="en-US" w:eastAsia="zh-CN"/>
        </w:rPr>
      </w:pPr>
      <w:r>
        <w:rPr>
          <w:rFonts w:hint="eastAsia"/>
          <w:highlight w:val="none"/>
          <w:lang w:val="en-US" w:eastAsia="zh-CN"/>
        </w:rPr>
        <w:t>有限空间作业应配置并确保下列安全设备完好有效：</w:t>
      </w:r>
    </w:p>
    <w:p w14:paraId="287F8AFD">
      <w:pPr>
        <w:pStyle w:val="133"/>
        <w:rPr>
          <w:rFonts w:hint="default"/>
          <w:highlight w:val="none"/>
          <w:lang w:val="en-US" w:eastAsia="zh-CN"/>
        </w:rPr>
      </w:pPr>
      <w:r>
        <w:rPr>
          <w:rFonts w:hint="default"/>
          <w:highlight w:val="none"/>
          <w:lang w:val="en-US" w:eastAsia="zh-CN"/>
        </w:rPr>
        <w:t>个体防护装备：包括但不限于安全帽</w:t>
      </w:r>
      <w:r>
        <w:rPr>
          <w:rFonts w:hint="eastAsia"/>
          <w:highlight w:val="none"/>
          <w:lang w:val="en-US" w:eastAsia="zh-CN"/>
        </w:rPr>
        <w:t>、</w:t>
      </w:r>
      <w:r>
        <w:rPr>
          <w:rFonts w:hint="default"/>
          <w:highlight w:val="none"/>
          <w:lang w:val="en-US" w:eastAsia="zh-CN"/>
        </w:rPr>
        <w:t>安全绳、全身安全带</w:t>
      </w:r>
      <w:r>
        <w:rPr>
          <w:rFonts w:hint="eastAsia"/>
          <w:highlight w:val="none"/>
          <w:lang w:val="en-US" w:eastAsia="zh-CN"/>
        </w:rPr>
        <w:t>、</w:t>
      </w:r>
      <w:r>
        <w:rPr>
          <w:rFonts w:hint="default"/>
          <w:highlight w:val="none"/>
          <w:lang w:val="en-US" w:eastAsia="zh-CN"/>
        </w:rPr>
        <w:t>防护服、防</w:t>
      </w:r>
      <w:r>
        <w:rPr>
          <w:rFonts w:hint="eastAsia"/>
          <w:highlight w:val="none"/>
          <w:lang w:val="en-US" w:eastAsia="zh-CN"/>
        </w:rPr>
        <w:t>护</w:t>
      </w:r>
      <w:r>
        <w:rPr>
          <w:rFonts w:hint="default"/>
          <w:highlight w:val="none"/>
          <w:lang w:val="en-US" w:eastAsia="zh-CN"/>
        </w:rPr>
        <w:t>手套、防护眼镜、防毒面具</w:t>
      </w:r>
      <w:r>
        <w:rPr>
          <w:rFonts w:hint="eastAsia"/>
          <w:highlight w:val="none"/>
          <w:lang w:val="en-US" w:eastAsia="zh-CN"/>
        </w:rPr>
        <w:t>、正压式呼吸器</w:t>
      </w:r>
      <w:r>
        <w:rPr>
          <w:rFonts w:hint="default"/>
          <w:highlight w:val="none"/>
          <w:lang w:val="en-US" w:eastAsia="zh-CN"/>
        </w:rPr>
        <w:t>等；</w:t>
      </w:r>
    </w:p>
    <w:p w14:paraId="1C2B1170">
      <w:pPr>
        <w:pStyle w:val="133"/>
        <w:rPr>
          <w:rFonts w:hint="default"/>
          <w:highlight w:val="none"/>
          <w:lang w:val="en-US" w:eastAsia="zh-CN"/>
        </w:rPr>
      </w:pPr>
      <w:r>
        <w:rPr>
          <w:rFonts w:hint="default"/>
          <w:highlight w:val="none"/>
          <w:lang w:val="en-US" w:eastAsia="zh-CN"/>
        </w:rPr>
        <w:t>通风设备：应配备符合通风要求的机械通风设备，确保作业期间持续通风；</w:t>
      </w:r>
    </w:p>
    <w:p w14:paraId="56891A6E">
      <w:pPr>
        <w:pStyle w:val="133"/>
        <w:rPr>
          <w:rFonts w:hint="default"/>
          <w:highlight w:val="none"/>
          <w:lang w:val="en-US" w:eastAsia="zh-CN"/>
        </w:rPr>
      </w:pPr>
      <w:r>
        <w:rPr>
          <w:rFonts w:hint="default"/>
          <w:highlight w:val="none"/>
          <w:lang w:val="en-US" w:eastAsia="zh-CN"/>
        </w:rPr>
        <w:t>气体检测设备：应配备可检测氧气、有毒有害气体、易燃易爆气体的多参数气体检测仪，气体检测报警</w:t>
      </w:r>
      <w:r>
        <w:rPr>
          <w:rFonts w:hint="eastAsia"/>
          <w:highlight w:val="none"/>
          <w:lang w:val="en-US" w:eastAsia="zh-CN"/>
        </w:rPr>
        <w:t>值满足要求，</w:t>
      </w:r>
      <w:r>
        <w:rPr>
          <w:rFonts w:hint="default"/>
          <w:highlight w:val="none"/>
          <w:lang w:val="en-US" w:eastAsia="zh-CN"/>
        </w:rPr>
        <w:t>并定期校准；</w:t>
      </w:r>
    </w:p>
    <w:p w14:paraId="60FCB51F">
      <w:pPr>
        <w:pStyle w:val="133"/>
        <w:rPr>
          <w:rFonts w:hint="default"/>
          <w:lang w:val="en-US" w:eastAsia="zh-CN"/>
        </w:rPr>
      </w:pPr>
      <w:r>
        <w:rPr>
          <w:rFonts w:hint="default"/>
          <w:lang w:val="en-US" w:eastAsia="zh-CN"/>
        </w:rPr>
        <w:t>通讯设备：应配置内外联络畅通的防爆或有防爆等级的通讯工具；</w:t>
      </w:r>
    </w:p>
    <w:p w14:paraId="1ED1815A">
      <w:pPr>
        <w:pStyle w:val="133"/>
        <w:rPr>
          <w:rFonts w:hint="default"/>
          <w:lang w:val="en-US" w:eastAsia="zh-CN"/>
        </w:rPr>
      </w:pPr>
      <w:r>
        <w:rPr>
          <w:rFonts w:hint="default"/>
          <w:lang w:val="en-US" w:eastAsia="zh-CN"/>
        </w:rPr>
        <w:t>照明设备：应使用符合防爆、防潮要求的照明灯具，照度满足作业要求。</w:t>
      </w:r>
    </w:p>
    <w:p w14:paraId="3E5F34A8">
      <w:pPr>
        <w:pStyle w:val="165"/>
        <w:rPr>
          <w:rFonts w:hint="eastAsia"/>
          <w:lang w:val="en-US" w:eastAsia="zh-CN"/>
        </w:rPr>
      </w:pPr>
      <w:r>
        <w:rPr>
          <w:rFonts w:hint="eastAsia"/>
          <w:lang w:val="en-US" w:eastAsia="zh-CN"/>
        </w:rPr>
        <w:t>有限空间作业现场应配备下列应急救援设备，并确保其处于完好备用状态：</w:t>
      </w:r>
    </w:p>
    <w:p w14:paraId="496FCB54">
      <w:pPr>
        <w:pStyle w:val="133"/>
        <w:rPr>
          <w:rFonts w:hint="default"/>
          <w:lang w:val="en-US" w:eastAsia="zh-CN"/>
        </w:rPr>
      </w:pPr>
      <w:r>
        <w:rPr>
          <w:rFonts w:hint="default"/>
          <w:lang w:val="en-US" w:eastAsia="zh-CN"/>
        </w:rPr>
        <w:t>正压式空气呼吸器；</w:t>
      </w:r>
    </w:p>
    <w:p w14:paraId="4B986433">
      <w:pPr>
        <w:pStyle w:val="133"/>
        <w:rPr>
          <w:rFonts w:hint="default"/>
          <w:lang w:val="en-US" w:eastAsia="zh-CN"/>
        </w:rPr>
      </w:pPr>
      <w:r>
        <w:rPr>
          <w:rFonts w:hint="default"/>
          <w:lang w:val="en-US" w:eastAsia="zh-CN"/>
        </w:rPr>
        <w:t>安全绳、全身安全带；</w:t>
      </w:r>
    </w:p>
    <w:p w14:paraId="3960017D">
      <w:pPr>
        <w:pStyle w:val="133"/>
        <w:rPr>
          <w:rFonts w:hint="default"/>
          <w:lang w:val="en-US" w:eastAsia="zh-CN"/>
        </w:rPr>
      </w:pPr>
      <w:r>
        <w:rPr>
          <w:rFonts w:hint="default"/>
          <w:lang w:val="en-US" w:eastAsia="zh-CN"/>
        </w:rPr>
        <w:t>救援三脚架或高处救援系统；</w:t>
      </w:r>
    </w:p>
    <w:p w14:paraId="348B1791">
      <w:pPr>
        <w:pStyle w:val="133"/>
        <w:rPr>
          <w:rFonts w:hint="default"/>
          <w:lang w:val="en-US" w:eastAsia="zh-CN"/>
        </w:rPr>
      </w:pPr>
      <w:r>
        <w:rPr>
          <w:rFonts w:hint="default"/>
          <w:lang w:val="en-US" w:eastAsia="zh-CN"/>
        </w:rPr>
        <w:t>速差自控器或坠落制动装置；</w:t>
      </w:r>
    </w:p>
    <w:p w14:paraId="6856B72F">
      <w:pPr>
        <w:pStyle w:val="133"/>
        <w:rPr>
          <w:rFonts w:hint="default"/>
          <w:lang w:val="en-US" w:eastAsia="zh-CN"/>
        </w:rPr>
      </w:pPr>
      <w:r>
        <w:rPr>
          <w:rFonts w:hint="default"/>
          <w:lang w:val="en-US" w:eastAsia="zh-CN"/>
        </w:rPr>
        <w:t>应急照明设备；</w:t>
      </w:r>
    </w:p>
    <w:p w14:paraId="25BACB9B">
      <w:pPr>
        <w:pStyle w:val="133"/>
        <w:rPr>
          <w:rFonts w:hint="default"/>
          <w:lang w:val="en-US" w:eastAsia="zh-CN"/>
        </w:rPr>
      </w:pPr>
      <w:r>
        <w:rPr>
          <w:rFonts w:hint="default"/>
          <w:lang w:val="en-US" w:eastAsia="zh-CN"/>
        </w:rPr>
        <w:t>备用通讯设备；</w:t>
      </w:r>
    </w:p>
    <w:p w14:paraId="142EC8DE">
      <w:pPr>
        <w:pStyle w:val="133"/>
        <w:rPr>
          <w:rFonts w:hint="default"/>
          <w:lang w:val="en-US" w:eastAsia="zh-CN"/>
        </w:rPr>
      </w:pPr>
      <w:r>
        <w:rPr>
          <w:rFonts w:hint="default"/>
          <w:lang w:val="en-US" w:eastAsia="zh-CN"/>
        </w:rPr>
        <w:t>大功率强制通风设备；</w:t>
      </w:r>
    </w:p>
    <w:p w14:paraId="0386A0F0">
      <w:pPr>
        <w:pStyle w:val="133"/>
        <w:rPr>
          <w:rFonts w:hint="eastAsia"/>
          <w:lang w:val="en-US" w:eastAsia="zh-CN"/>
        </w:rPr>
      </w:pPr>
      <w:r>
        <w:rPr>
          <w:rFonts w:hint="default"/>
          <w:lang w:val="en-US" w:eastAsia="zh-CN"/>
        </w:rPr>
        <w:t>应急备用电源。</w:t>
      </w:r>
    </w:p>
    <w:p w14:paraId="656F8827">
      <w:pPr>
        <w:pStyle w:val="66"/>
        <w:spacing w:before="120" w:after="120"/>
      </w:pPr>
      <w:r>
        <w:rPr>
          <w:rFonts w:hint="eastAsia"/>
        </w:rPr>
        <w:t>作业过程管理</w:t>
      </w:r>
    </w:p>
    <w:p w14:paraId="5FFCA4A1">
      <w:pPr>
        <w:pStyle w:val="165"/>
        <w:rPr>
          <w:rFonts w:hint="eastAsia"/>
          <w:lang w:val="en-US" w:eastAsia="zh-CN"/>
        </w:rPr>
      </w:pPr>
      <w:r>
        <w:rPr>
          <w:rFonts w:hint="eastAsia"/>
          <w:lang w:val="en-US" w:eastAsia="zh-CN"/>
        </w:rPr>
        <w:t>有限空间作业应执行作业前审批制度。</w:t>
      </w:r>
    </w:p>
    <w:p w14:paraId="09E0A6C8">
      <w:pPr>
        <w:pStyle w:val="165"/>
        <w:rPr>
          <w:rFonts w:hint="eastAsia"/>
          <w:lang w:val="en-US" w:eastAsia="zh-CN"/>
        </w:rPr>
      </w:pPr>
      <w:r>
        <w:rPr>
          <w:rFonts w:hint="eastAsia"/>
          <w:lang w:val="en-US" w:eastAsia="zh-CN"/>
        </w:rPr>
        <w:t>作业审批表（作业票）应由作业班组现场负责人提出申请，经施工单位现场管理人员审核、批准后方可作业。</w:t>
      </w:r>
    </w:p>
    <w:p w14:paraId="46186F25">
      <w:pPr>
        <w:pStyle w:val="165"/>
        <w:rPr>
          <w:rFonts w:hint="eastAsia"/>
          <w:color w:val="auto"/>
          <w:highlight w:val="none"/>
          <w:lang w:val="en-US" w:eastAsia="zh-CN"/>
        </w:rPr>
      </w:pPr>
      <w:r>
        <w:rPr>
          <w:rFonts w:hint="eastAsia"/>
          <w:color w:val="auto"/>
          <w:highlight w:val="none"/>
          <w:lang w:val="en-US" w:eastAsia="zh-CN"/>
        </w:rPr>
        <w:t>作业审批表应至少涵盖有限空间名称、作业单位、作业地点、作业内容、主要危险有害因素、作业人员与监护人员、作业起止时间、主要安全防护措施、审核与审批栏、完工确认栏等信息。</w:t>
      </w:r>
    </w:p>
    <w:p w14:paraId="1928470B">
      <w:pPr>
        <w:pStyle w:val="165"/>
        <w:rPr>
          <w:rFonts w:hint="eastAsia"/>
          <w:color w:val="auto"/>
          <w:highlight w:val="none"/>
          <w:lang w:val="en-US" w:eastAsia="zh-CN"/>
        </w:rPr>
      </w:pPr>
      <w:r>
        <w:rPr>
          <w:rFonts w:hint="eastAsia"/>
          <w:color w:val="auto"/>
          <w:highlight w:val="none"/>
          <w:lang w:val="en-US" w:eastAsia="zh-CN"/>
        </w:rPr>
        <w:t>作业前，应对有限空间内外部环境进行评估。若周边物质对作业构成危害，应采取隔离、清理、加固等措施，审批时应核查措施落实情况。</w:t>
      </w:r>
    </w:p>
    <w:p w14:paraId="4D8D16A7">
      <w:pPr>
        <w:pStyle w:val="165"/>
        <w:rPr>
          <w:rFonts w:hint="eastAsia"/>
          <w:color w:val="auto"/>
          <w:highlight w:val="none"/>
          <w:lang w:val="en-US" w:eastAsia="zh-CN"/>
        </w:rPr>
      </w:pPr>
      <w:r>
        <w:rPr>
          <w:rFonts w:hint="eastAsia"/>
          <w:color w:val="auto"/>
          <w:highlight w:val="none"/>
          <w:lang w:val="en-US" w:eastAsia="zh-CN"/>
        </w:rPr>
        <w:t>作业前应进行自然或机械通风，通风时间不应少于30分钟，并确保空气流通，气体检测结果合格后方可实施有限空间作业。</w:t>
      </w:r>
    </w:p>
    <w:p w14:paraId="5333C24C">
      <w:pPr>
        <w:pStyle w:val="165"/>
        <w:rPr>
          <w:rFonts w:hint="eastAsia"/>
          <w:color w:val="auto"/>
          <w:highlight w:val="none"/>
          <w:lang w:val="en-US" w:eastAsia="zh-CN"/>
        </w:rPr>
      </w:pPr>
      <w:r>
        <w:rPr>
          <w:rFonts w:hint="eastAsia"/>
          <w:color w:val="auto"/>
          <w:highlight w:val="none"/>
          <w:lang w:val="en-US" w:eastAsia="zh-CN"/>
        </w:rPr>
        <w:t>有限空间作业过程中应持续通风，当出现下列情形之一时，作业期间应全程采用机械通风：</w:t>
      </w:r>
    </w:p>
    <w:p w14:paraId="61EE709D">
      <w:pPr>
        <w:pStyle w:val="133"/>
        <w:rPr>
          <w:rFonts w:hint="eastAsia"/>
          <w:color w:val="auto"/>
          <w:highlight w:val="none"/>
          <w:lang w:val="en-US" w:eastAsia="zh-CN"/>
        </w:rPr>
      </w:pPr>
      <w:r>
        <w:rPr>
          <w:rFonts w:hint="eastAsia"/>
          <w:color w:val="auto"/>
          <w:highlight w:val="none"/>
          <w:lang w:val="en-US" w:eastAsia="zh-CN"/>
        </w:rPr>
        <w:t>作业场所仅有一个出入口，自然通风条件不良；</w:t>
      </w:r>
    </w:p>
    <w:p w14:paraId="5C85C633">
      <w:pPr>
        <w:pStyle w:val="133"/>
        <w:rPr>
          <w:rFonts w:hint="eastAsia"/>
          <w:color w:val="auto"/>
          <w:highlight w:val="none"/>
          <w:lang w:val="en-US" w:eastAsia="zh-CN"/>
        </w:rPr>
      </w:pPr>
      <w:r>
        <w:rPr>
          <w:rFonts w:hint="eastAsia"/>
          <w:color w:val="auto"/>
          <w:highlight w:val="none"/>
          <w:lang w:val="en-US" w:eastAsia="zh-CN"/>
        </w:rPr>
        <w:t>初始气体检测结果不合格；</w:t>
      </w:r>
    </w:p>
    <w:p w14:paraId="415F0ED0">
      <w:pPr>
        <w:pStyle w:val="133"/>
        <w:rPr>
          <w:rFonts w:hint="eastAsia"/>
          <w:color w:val="auto"/>
          <w:highlight w:val="none"/>
          <w:lang w:val="en-US" w:eastAsia="zh-CN"/>
        </w:rPr>
      </w:pPr>
      <w:r>
        <w:rPr>
          <w:rFonts w:hint="eastAsia"/>
          <w:color w:val="auto"/>
          <w:highlight w:val="none"/>
          <w:lang w:val="en-US" w:eastAsia="zh-CN"/>
        </w:rPr>
        <w:t>自然通风后气体检测结果仍不符合安全要求，或作业扰动可能导致气体浓度、成分发生变化；</w:t>
      </w:r>
    </w:p>
    <w:p w14:paraId="5515DF4E">
      <w:pPr>
        <w:pStyle w:val="133"/>
        <w:rPr>
          <w:rFonts w:hint="eastAsia"/>
          <w:color w:val="auto"/>
          <w:highlight w:val="none"/>
          <w:lang w:val="en-US" w:eastAsia="zh-CN"/>
        </w:rPr>
      </w:pPr>
      <w:r>
        <w:rPr>
          <w:rFonts w:hint="eastAsia"/>
          <w:color w:val="auto"/>
          <w:highlight w:val="none"/>
          <w:lang w:val="en-US" w:eastAsia="zh-CN"/>
        </w:rPr>
        <w:t>作业过程中可燃性或有毒有害气体可能突然升高；</w:t>
      </w:r>
    </w:p>
    <w:p w14:paraId="6CCF45AD">
      <w:pPr>
        <w:pStyle w:val="133"/>
        <w:rPr>
          <w:rFonts w:hint="eastAsia"/>
          <w:color w:val="auto"/>
          <w:highlight w:val="none"/>
          <w:lang w:val="en-US" w:eastAsia="zh-CN"/>
        </w:rPr>
      </w:pPr>
      <w:r>
        <w:rPr>
          <w:rFonts w:hint="eastAsia"/>
          <w:color w:val="auto"/>
          <w:highlight w:val="none"/>
          <w:lang w:val="en-US" w:eastAsia="zh-CN"/>
        </w:rPr>
        <w:t>进行清淤、涂装、防腐、防水、动火等可能产生有毒有害气体或导致缺氧的作业。</w:t>
      </w:r>
    </w:p>
    <w:p w14:paraId="165447D5">
      <w:pPr>
        <w:pStyle w:val="165"/>
        <w:rPr>
          <w:rFonts w:hint="eastAsia"/>
          <w:color w:val="auto"/>
          <w:highlight w:val="none"/>
          <w:lang w:val="en-US" w:eastAsia="zh-CN"/>
        </w:rPr>
      </w:pPr>
      <w:r>
        <w:rPr>
          <w:rFonts w:hint="eastAsia"/>
          <w:color w:val="auto"/>
          <w:highlight w:val="none"/>
          <w:lang w:val="en-US" w:eastAsia="zh-CN"/>
        </w:rPr>
        <w:t>进入有限空间前及作业过程中，应对内部气体进行检测，并记录检测结果。</w:t>
      </w:r>
    </w:p>
    <w:p w14:paraId="560D3B73">
      <w:pPr>
        <w:pStyle w:val="165"/>
        <w:rPr>
          <w:rFonts w:hint="eastAsia"/>
          <w:color w:val="auto"/>
          <w:highlight w:val="none"/>
          <w:lang w:val="en-US" w:eastAsia="zh-CN"/>
        </w:rPr>
      </w:pPr>
      <w:r>
        <w:rPr>
          <w:rFonts w:hint="eastAsia"/>
          <w:color w:val="auto"/>
          <w:highlight w:val="none"/>
          <w:lang w:val="en-US" w:eastAsia="zh-CN"/>
        </w:rPr>
        <w:t>气体检测仪的检测停留时间应大于仪器响应时间，且不宜少于60秒。气体检测仪应按国家相关规定定期校验。</w:t>
      </w:r>
    </w:p>
    <w:p w14:paraId="25EEF4DF">
      <w:pPr>
        <w:pStyle w:val="165"/>
        <w:rPr>
          <w:rFonts w:hint="eastAsia"/>
          <w:color w:val="auto"/>
          <w:highlight w:val="none"/>
          <w:lang w:val="en-US" w:eastAsia="zh-CN"/>
        </w:rPr>
      </w:pPr>
      <w:r>
        <w:rPr>
          <w:rFonts w:hint="eastAsia"/>
          <w:color w:val="auto"/>
          <w:highlight w:val="none"/>
          <w:lang w:val="en-US" w:eastAsia="zh-CN"/>
        </w:rPr>
        <w:t>垂直方向气体检测时，检测点数量不应少于3个，最上点和最下点距顶部和底部的距离均不应大于1米，中间检测点应均匀分布，检测点间距不应大于8米。竖向距离不足2米时，应至少设置上、下2个检测点。</w:t>
      </w:r>
    </w:p>
    <w:p w14:paraId="5843B4F3">
      <w:pPr>
        <w:pStyle w:val="165"/>
        <w:rPr>
          <w:rFonts w:hint="eastAsia"/>
          <w:color w:val="auto"/>
          <w:highlight w:val="none"/>
          <w:lang w:val="en-US" w:eastAsia="zh-CN"/>
        </w:rPr>
      </w:pPr>
      <w:r>
        <w:rPr>
          <w:rFonts w:hint="eastAsia"/>
          <w:color w:val="auto"/>
          <w:highlight w:val="none"/>
          <w:lang w:val="en-US" w:eastAsia="zh-CN"/>
        </w:rPr>
        <w:t>水平方向气体检测时，检测点数量不应少于2个，近端点距有限空间出入口不应小于0.5米，远端点距有限空间出入口不应小于2米。横向距离不足2米时，远端点应选取最远处进行检测。</w:t>
      </w:r>
    </w:p>
    <w:p w14:paraId="085F5486">
      <w:pPr>
        <w:pStyle w:val="165"/>
        <w:rPr>
          <w:rFonts w:hint="eastAsia"/>
          <w:highlight w:val="none"/>
          <w:lang w:val="en-US" w:eastAsia="zh-CN"/>
        </w:rPr>
      </w:pPr>
      <w:r>
        <w:rPr>
          <w:rFonts w:hint="eastAsia"/>
          <w:highlight w:val="none"/>
          <w:lang w:val="en-US" w:eastAsia="zh-CN"/>
        </w:rPr>
        <w:t>监护人员应每隔15分钟记录一次气体检测的时间、地点、气体种类、浓度等信息。</w:t>
      </w:r>
    </w:p>
    <w:p w14:paraId="24E468F8">
      <w:pPr>
        <w:pStyle w:val="165"/>
        <w:rPr>
          <w:rFonts w:hint="eastAsia"/>
          <w:highlight w:val="none"/>
          <w:lang w:val="en-US" w:eastAsia="zh-CN"/>
        </w:rPr>
      </w:pPr>
      <w:r>
        <w:rPr>
          <w:rFonts w:hint="eastAsia"/>
          <w:highlight w:val="none"/>
          <w:lang w:val="en-US" w:eastAsia="zh-CN"/>
        </w:rPr>
        <w:t>作业前应对安全防护设备、个体防护用品、应急救援装备、作业设备和用具的齐备性和安全性进行检查，发现问题应立即修复或更换。作业人员应全程正确佩戴个体劳动防护用品，不应随意脱卸；应正确使用通讯装置，与监护人员保持有效沟通。</w:t>
      </w:r>
    </w:p>
    <w:p w14:paraId="068225AF">
      <w:pPr>
        <w:pStyle w:val="165"/>
        <w:rPr>
          <w:rFonts w:hint="eastAsia"/>
          <w:highlight w:val="none"/>
          <w:lang w:val="en-US" w:eastAsia="zh-CN"/>
        </w:rPr>
      </w:pPr>
      <w:r>
        <w:rPr>
          <w:rFonts w:hint="eastAsia"/>
          <w:highlight w:val="none"/>
          <w:lang w:val="en-US" w:eastAsia="zh-CN"/>
        </w:rPr>
        <w:t>作业人员持续作业时间不宜超过2小时。应采取轮换作业等方式，避免人员长时间在有限空间内作业。</w:t>
      </w:r>
    </w:p>
    <w:p w14:paraId="49DD12D1">
      <w:pPr>
        <w:pStyle w:val="165"/>
        <w:rPr>
          <w:rFonts w:hint="eastAsia"/>
          <w:highlight w:val="none"/>
          <w:lang w:val="en-US" w:eastAsia="zh-CN"/>
        </w:rPr>
      </w:pPr>
      <w:r>
        <w:rPr>
          <w:rFonts w:hint="eastAsia"/>
          <w:highlight w:val="none"/>
          <w:lang w:val="en-US" w:eastAsia="zh-CN"/>
        </w:rPr>
        <w:t>作业中断超过10min的，作业人员再次进入有限空间作业前应重新进行通风与检测，确认合格后方可进入。</w:t>
      </w:r>
    </w:p>
    <w:p w14:paraId="09F8CA84">
      <w:pPr>
        <w:pStyle w:val="165"/>
        <w:rPr>
          <w:rFonts w:hint="eastAsia"/>
          <w:highlight w:val="none"/>
          <w:lang w:val="en-US" w:eastAsia="zh-CN"/>
        </w:rPr>
      </w:pPr>
      <w:r>
        <w:rPr>
          <w:rFonts w:hint="eastAsia"/>
          <w:highlight w:val="none"/>
          <w:lang w:val="en-US" w:eastAsia="zh-CN"/>
        </w:rPr>
        <w:t>作业期间出现下列情形之一时，作业人员应立即撤离有限空间：</w:t>
      </w:r>
    </w:p>
    <w:p w14:paraId="093B8A6C">
      <w:pPr>
        <w:pStyle w:val="133"/>
        <w:rPr>
          <w:rFonts w:hint="eastAsia"/>
          <w:highlight w:val="none"/>
          <w:lang w:val="en-US" w:eastAsia="zh-CN"/>
        </w:rPr>
      </w:pPr>
      <w:r>
        <w:rPr>
          <w:rFonts w:hint="eastAsia"/>
          <w:highlight w:val="none"/>
          <w:lang w:val="en-US" w:eastAsia="zh-CN"/>
        </w:rPr>
        <w:t>身体不适；</w:t>
      </w:r>
    </w:p>
    <w:p w14:paraId="6C33AFAD">
      <w:pPr>
        <w:pStyle w:val="133"/>
        <w:rPr>
          <w:rFonts w:hint="eastAsia"/>
          <w:highlight w:val="none"/>
          <w:lang w:val="en-US" w:eastAsia="zh-CN"/>
        </w:rPr>
      </w:pPr>
      <w:r>
        <w:rPr>
          <w:rFonts w:hint="eastAsia"/>
          <w:highlight w:val="none"/>
          <w:lang w:val="en-US" w:eastAsia="zh-CN"/>
        </w:rPr>
        <w:t>安全防护设备设施失效；</w:t>
      </w:r>
    </w:p>
    <w:p w14:paraId="6E41B3F6">
      <w:pPr>
        <w:pStyle w:val="133"/>
        <w:rPr>
          <w:rFonts w:hint="eastAsia"/>
          <w:highlight w:val="none"/>
          <w:lang w:val="en-US" w:eastAsia="zh-CN"/>
        </w:rPr>
      </w:pPr>
      <w:r>
        <w:rPr>
          <w:rFonts w:hint="eastAsia"/>
          <w:highlight w:val="none"/>
          <w:lang w:val="en-US" w:eastAsia="zh-CN"/>
        </w:rPr>
        <w:t>气体检测报警仪报警；</w:t>
      </w:r>
    </w:p>
    <w:p w14:paraId="1E620F1E">
      <w:pPr>
        <w:pStyle w:val="133"/>
        <w:rPr>
          <w:rFonts w:hint="eastAsia"/>
          <w:highlight w:val="none"/>
          <w:lang w:val="en-US" w:eastAsia="zh-CN"/>
        </w:rPr>
      </w:pPr>
      <w:r>
        <w:rPr>
          <w:rFonts w:hint="eastAsia"/>
          <w:highlight w:val="none"/>
          <w:lang w:val="en-US" w:eastAsia="zh-CN"/>
        </w:rPr>
        <w:t>通风、检测、照明、通讯等设备失效；</w:t>
      </w:r>
    </w:p>
    <w:p w14:paraId="101F0016">
      <w:pPr>
        <w:pStyle w:val="133"/>
        <w:rPr>
          <w:rFonts w:hint="eastAsia"/>
          <w:highlight w:val="none"/>
          <w:lang w:val="en-US" w:eastAsia="zh-CN"/>
        </w:rPr>
      </w:pPr>
      <w:r>
        <w:rPr>
          <w:rFonts w:hint="eastAsia"/>
          <w:highlight w:val="none"/>
          <w:lang w:val="en-US" w:eastAsia="zh-CN"/>
        </w:rPr>
        <w:t>监护人员或监督人员下达撤离指令；</w:t>
      </w:r>
    </w:p>
    <w:p w14:paraId="039B5909">
      <w:pPr>
        <w:pStyle w:val="133"/>
        <w:rPr>
          <w:rFonts w:hint="eastAsia"/>
          <w:highlight w:val="none"/>
          <w:lang w:val="en-US" w:eastAsia="zh-CN"/>
        </w:rPr>
      </w:pPr>
      <w:r>
        <w:rPr>
          <w:rFonts w:hint="eastAsia"/>
          <w:highlight w:val="none"/>
          <w:lang w:val="en-US" w:eastAsia="zh-CN"/>
        </w:rPr>
        <w:t>其他可能危及作业人员生命安全的情况。</w:t>
      </w:r>
    </w:p>
    <w:p w14:paraId="142EB169">
      <w:pPr>
        <w:pStyle w:val="165"/>
        <w:rPr>
          <w:rFonts w:hint="eastAsia"/>
          <w:highlight w:val="none"/>
          <w:lang w:val="en-US" w:eastAsia="zh-CN"/>
        </w:rPr>
      </w:pPr>
      <w:r>
        <w:rPr>
          <w:rFonts w:hint="eastAsia"/>
          <w:highlight w:val="none"/>
          <w:lang w:val="en-US" w:eastAsia="zh-CN"/>
        </w:rPr>
        <w:t>作业班组应在有限空间外配备专职监护人员，监护人员应全程监护，不应擅离职守。监护人员应通过佩戴铭牌、袖标或穿着专用服装等可视化方式表明其身份。</w:t>
      </w:r>
    </w:p>
    <w:p w14:paraId="268B1B8A">
      <w:pPr>
        <w:pStyle w:val="165"/>
        <w:rPr>
          <w:rFonts w:hint="eastAsia"/>
          <w:highlight w:val="none"/>
          <w:lang w:val="en-US" w:eastAsia="zh-CN"/>
        </w:rPr>
      </w:pPr>
      <w:r>
        <w:rPr>
          <w:rFonts w:hint="eastAsia"/>
          <w:highlight w:val="none"/>
          <w:lang w:val="en-US" w:eastAsia="zh-CN"/>
        </w:rPr>
        <w:t>作业完成后，作业人员应将所有工器具、设备及物料撤离有限空间。</w:t>
      </w:r>
    </w:p>
    <w:p w14:paraId="657D9044">
      <w:pPr>
        <w:pStyle w:val="165"/>
        <w:rPr>
          <w:rFonts w:hint="eastAsia"/>
          <w:highlight w:val="none"/>
          <w:lang w:val="en-US" w:eastAsia="zh-CN"/>
        </w:rPr>
      </w:pPr>
      <w:r>
        <w:rPr>
          <w:rFonts w:hint="eastAsia"/>
          <w:highlight w:val="none"/>
          <w:lang w:val="en-US" w:eastAsia="zh-CN"/>
        </w:rPr>
        <w:t>监护人员应清点作业人员、工器具及物料，确认有限空间内无任何遗留后，封闭出入口。</w:t>
      </w:r>
    </w:p>
    <w:p w14:paraId="4D7D33AC">
      <w:pPr>
        <w:pStyle w:val="165"/>
        <w:rPr>
          <w:rFonts w:hint="eastAsia"/>
          <w:highlight w:val="none"/>
          <w:lang w:val="en-US" w:eastAsia="zh-CN"/>
        </w:rPr>
      </w:pPr>
      <w:r>
        <w:rPr>
          <w:rFonts w:hint="eastAsia"/>
          <w:highlight w:val="none"/>
          <w:lang w:val="en-US" w:eastAsia="zh-CN"/>
        </w:rPr>
        <w:t>作业完成后应解除为当次作业采取的隔离等临时措施，恢复现场原状。</w:t>
      </w:r>
    </w:p>
    <w:p w14:paraId="6C864F47">
      <w:pPr>
        <w:pStyle w:val="106"/>
        <w:spacing w:before="120" w:after="120"/>
      </w:pPr>
      <w:bookmarkStart w:id="77" w:name="_Toc21784"/>
      <w:r>
        <w:rPr>
          <w:rFonts w:hint="eastAsia"/>
          <w:lang w:val="en-US" w:eastAsia="zh-CN"/>
        </w:rPr>
        <w:t>吊装</w:t>
      </w:r>
      <w:r>
        <w:rPr>
          <w:rFonts w:hint="eastAsia"/>
        </w:rPr>
        <w:t>作业管理</w:t>
      </w:r>
      <w:bookmarkEnd w:id="77"/>
    </w:p>
    <w:p w14:paraId="779C38F2">
      <w:pPr>
        <w:pStyle w:val="66"/>
        <w:spacing w:before="120" w:after="120"/>
      </w:pPr>
      <w:r>
        <w:rPr>
          <w:rFonts w:hint="eastAsia"/>
          <w:lang w:val="en-US" w:eastAsia="zh-CN"/>
        </w:rPr>
        <w:t>一般规定</w:t>
      </w:r>
    </w:p>
    <w:p w14:paraId="79E803E1">
      <w:pPr>
        <w:pStyle w:val="165"/>
        <w:rPr>
          <w:rFonts w:hint="eastAsia"/>
          <w:color w:val="auto"/>
          <w:highlight w:val="none"/>
          <w:lang w:val="en-US" w:eastAsia="zh-CN"/>
        </w:rPr>
      </w:pPr>
      <w:r>
        <w:rPr>
          <w:rFonts w:hint="eastAsia"/>
          <w:lang w:val="en-US" w:eastAsia="zh-CN"/>
        </w:rPr>
        <w:t>热力工程常见吊装作业对象应包括钢便桥、预制钢筋混凝土盖板、新旧管道、阀门、波纹管</w:t>
      </w:r>
      <w:r>
        <w:rPr>
          <w:rFonts w:hint="eastAsia"/>
          <w:color w:val="auto"/>
          <w:highlight w:val="none"/>
          <w:lang w:val="en-US" w:eastAsia="zh-CN"/>
        </w:rPr>
        <w:t>补偿器、弯头等。</w:t>
      </w:r>
    </w:p>
    <w:p w14:paraId="3C9CC2A8">
      <w:pPr>
        <w:pStyle w:val="165"/>
        <w:rPr>
          <w:rFonts w:hint="eastAsia"/>
          <w:color w:val="auto"/>
          <w:highlight w:val="none"/>
          <w:lang w:val="en-US" w:eastAsia="zh-CN"/>
        </w:rPr>
      </w:pPr>
      <w:r>
        <w:rPr>
          <w:rFonts w:hint="eastAsia"/>
          <w:color w:val="auto"/>
          <w:highlight w:val="none"/>
          <w:lang w:val="en-US" w:eastAsia="zh-CN"/>
        </w:rPr>
        <w:t>吊装作业应按国家及北京市有关安全生产的法律、法规、规章和标准规范，并结合作业环境、吊装方式、吊物重量、设备状况等因素，编制专项施工方案。</w:t>
      </w:r>
    </w:p>
    <w:p w14:paraId="519E26DA">
      <w:pPr>
        <w:pStyle w:val="165"/>
        <w:rPr>
          <w:rFonts w:hint="eastAsia"/>
          <w:color w:val="auto"/>
          <w:highlight w:val="none"/>
          <w:lang w:val="en-US" w:eastAsia="zh-CN"/>
        </w:rPr>
      </w:pPr>
      <w:r>
        <w:rPr>
          <w:rFonts w:hint="eastAsia"/>
          <w:color w:val="auto"/>
          <w:highlight w:val="none"/>
          <w:lang w:val="en-US" w:eastAsia="zh-CN"/>
        </w:rPr>
        <w:t>吊装作业前，应检查吊装半径内的垂直空间、水平路径内是否有障碍物，确保与障碍物保持足够的安全距离或采取保护、隔离等措施确保吊装作业安全。</w:t>
      </w:r>
    </w:p>
    <w:p w14:paraId="1EE63E64">
      <w:pPr>
        <w:pStyle w:val="165"/>
        <w:rPr>
          <w:rFonts w:hint="eastAsia"/>
          <w:color w:val="auto"/>
          <w:highlight w:val="none"/>
          <w:lang w:val="en-US" w:eastAsia="zh-CN"/>
        </w:rPr>
      </w:pPr>
      <w:r>
        <w:rPr>
          <w:rFonts w:hint="eastAsia"/>
          <w:color w:val="auto"/>
          <w:highlight w:val="none"/>
          <w:lang w:val="en-US" w:eastAsia="zh-CN"/>
        </w:rPr>
        <w:t>对于超过一定规模的危险性较大的分部分项工程中的吊装作业，其专项施工方案应按规定组织专家论证。</w:t>
      </w:r>
    </w:p>
    <w:p w14:paraId="0B7FFB37">
      <w:pPr>
        <w:pStyle w:val="165"/>
        <w:rPr>
          <w:rFonts w:hint="eastAsia"/>
          <w:color w:val="auto"/>
          <w:highlight w:val="none"/>
          <w:lang w:val="en-US" w:eastAsia="zh-CN"/>
        </w:rPr>
      </w:pPr>
      <w:r>
        <w:rPr>
          <w:rFonts w:hint="eastAsia"/>
          <w:color w:val="auto"/>
          <w:highlight w:val="none"/>
          <w:lang w:val="en-US" w:eastAsia="zh-CN"/>
        </w:rPr>
        <w:t>起重机械司机、建筑起重信号司索工、建筑起重信号指挥工等特种作业人员，应持主管部门颁发的有效特种作业操作资格证书上岗作业。</w:t>
      </w:r>
    </w:p>
    <w:p w14:paraId="3C5CA0CF">
      <w:pPr>
        <w:pStyle w:val="165"/>
        <w:rPr>
          <w:rFonts w:hint="eastAsia"/>
          <w:lang w:val="en-US" w:eastAsia="zh-CN"/>
        </w:rPr>
      </w:pPr>
      <w:r>
        <w:rPr>
          <w:rFonts w:hint="eastAsia"/>
          <w:lang w:val="en-US" w:eastAsia="zh-CN"/>
        </w:rPr>
        <w:t>汽车吊、履带吊等起重机械应具备有效的年度检验合格标识。进场时应核查“三证一单”，即：制造许可证、产品合格证或监督检验证明、使用登记证以及近期的维护保养记录。</w:t>
      </w:r>
    </w:p>
    <w:p w14:paraId="22C23FEA">
      <w:pPr>
        <w:pStyle w:val="165"/>
        <w:rPr>
          <w:rFonts w:hint="eastAsia"/>
          <w:lang w:val="en-US" w:eastAsia="zh-CN"/>
        </w:rPr>
      </w:pPr>
      <w:r>
        <w:rPr>
          <w:rFonts w:hint="eastAsia"/>
          <w:lang w:val="en-US" w:eastAsia="zh-CN"/>
        </w:rPr>
        <w:t>钢丝绳、卸扣、纤维吊带等吊索具应实行“色标”与“编号”相结合的双标识管理，并建立管理台账。</w:t>
      </w:r>
    </w:p>
    <w:p w14:paraId="11455830">
      <w:pPr>
        <w:pStyle w:val="165"/>
        <w:rPr>
          <w:rFonts w:hint="eastAsia"/>
          <w:lang w:val="en-US" w:eastAsia="zh-CN"/>
        </w:rPr>
      </w:pPr>
      <w:r>
        <w:rPr>
          <w:rFonts w:hint="eastAsia"/>
          <w:lang w:val="en-US" w:eastAsia="zh-CN"/>
        </w:rPr>
        <w:t>吊索具出现下列情况之一时，应立即停止使用并做退场处理：</w:t>
      </w:r>
    </w:p>
    <w:p w14:paraId="0C081F8F">
      <w:pPr>
        <w:pStyle w:val="133"/>
        <w:rPr>
          <w:rFonts w:hint="eastAsia"/>
          <w:lang w:val="en-US" w:eastAsia="zh-CN"/>
        </w:rPr>
      </w:pPr>
      <w:r>
        <w:rPr>
          <w:rFonts w:hint="eastAsia"/>
          <w:lang w:val="en-US" w:eastAsia="zh-CN"/>
        </w:rPr>
        <w:t>钢丝绳断丝、变形或磨损超过标准允许值；</w:t>
      </w:r>
    </w:p>
    <w:p w14:paraId="5C8DED9F">
      <w:pPr>
        <w:pStyle w:val="133"/>
        <w:rPr>
          <w:rFonts w:hint="eastAsia"/>
          <w:lang w:val="en-US" w:eastAsia="zh-CN"/>
        </w:rPr>
      </w:pPr>
      <w:r>
        <w:rPr>
          <w:rFonts w:hint="eastAsia"/>
          <w:lang w:val="en-US" w:eastAsia="zh-CN"/>
        </w:rPr>
        <w:t>卸扣出现裂纹或明显变形；</w:t>
      </w:r>
    </w:p>
    <w:p w14:paraId="4C65DD2D">
      <w:pPr>
        <w:pStyle w:val="133"/>
        <w:rPr>
          <w:rFonts w:hint="eastAsia"/>
        </w:rPr>
      </w:pPr>
      <w:r>
        <w:rPr>
          <w:rFonts w:hint="eastAsia"/>
          <w:lang w:val="en-US" w:eastAsia="zh-CN"/>
        </w:rPr>
        <w:t>纤维吊带存在割口、撕裂或严重磨损。</w:t>
      </w:r>
    </w:p>
    <w:p w14:paraId="6B15CEF4">
      <w:pPr>
        <w:pStyle w:val="66"/>
        <w:spacing w:before="120" w:after="120"/>
      </w:pPr>
      <w:r>
        <w:rPr>
          <w:rFonts w:hint="eastAsia"/>
        </w:rPr>
        <w:t>管理要求</w:t>
      </w:r>
    </w:p>
    <w:p w14:paraId="3C0FFA1A">
      <w:pPr>
        <w:pStyle w:val="165"/>
        <w:rPr>
          <w:rFonts w:hint="eastAsia"/>
          <w:lang w:val="en-US" w:eastAsia="zh-CN"/>
        </w:rPr>
      </w:pPr>
      <w:r>
        <w:rPr>
          <w:rFonts w:hint="eastAsia"/>
          <w:lang w:val="en-US" w:eastAsia="zh-CN"/>
        </w:rPr>
        <w:t>吊装作业场地应平整、坚实，无障碍物，承载力应满足起重机作业安全要求。</w:t>
      </w:r>
    </w:p>
    <w:p w14:paraId="0529FF38">
      <w:pPr>
        <w:pStyle w:val="165"/>
        <w:rPr>
          <w:rFonts w:hint="eastAsia"/>
          <w:lang w:val="en-US" w:eastAsia="zh-CN"/>
        </w:rPr>
      </w:pPr>
      <w:r>
        <w:rPr>
          <w:rFonts w:hint="eastAsia"/>
          <w:lang w:val="en-US" w:eastAsia="zh-CN"/>
        </w:rPr>
        <w:t>起重机支腿下方应垫设专用垫木或基座板，不应直接支承于地面。地面应进行处理，防止因局部压力过大导致损坏或沉降。</w:t>
      </w:r>
    </w:p>
    <w:p w14:paraId="2DB27495">
      <w:pPr>
        <w:pStyle w:val="165"/>
        <w:rPr>
          <w:rFonts w:hint="eastAsia"/>
          <w:lang w:val="en-US" w:eastAsia="zh-CN"/>
        </w:rPr>
      </w:pPr>
      <w:r>
        <w:rPr>
          <w:rFonts w:hint="eastAsia"/>
          <w:lang w:val="en-US" w:eastAsia="zh-CN"/>
        </w:rPr>
        <w:t>吊装作业前，应在作业现场划定警戒区域。</w:t>
      </w:r>
    </w:p>
    <w:p w14:paraId="1AE5911B">
      <w:pPr>
        <w:pStyle w:val="165"/>
        <w:rPr>
          <w:rFonts w:hint="eastAsia"/>
          <w:lang w:val="en-US" w:eastAsia="zh-CN"/>
        </w:rPr>
      </w:pPr>
      <w:r>
        <w:rPr>
          <w:rFonts w:hint="eastAsia"/>
          <w:lang w:val="en-US" w:eastAsia="zh-CN"/>
        </w:rPr>
        <w:t>警戒区域周边应设置醒目的红白三角旗和LED爆闪灯等警示标识。</w:t>
      </w:r>
    </w:p>
    <w:p w14:paraId="1AF9B5EE">
      <w:pPr>
        <w:pStyle w:val="165"/>
        <w:rPr>
          <w:rFonts w:hint="eastAsia"/>
          <w:lang w:val="en-US" w:eastAsia="zh-CN"/>
        </w:rPr>
      </w:pPr>
      <w:r>
        <w:rPr>
          <w:rFonts w:hint="eastAsia"/>
          <w:lang w:val="en-US" w:eastAsia="zh-CN"/>
        </w:rPr>
        <w:t>非作业人员不得进入警戒区域。任何人员不应在起重机起重臂、吊钩及被吊重物的下方通过或停留。</w:t>
      </w:r>
    </w:p>
    <w:p w14:paraId="3EA1C275">
      <w:pPr>
        <w:pStyle w:val="165"/>
        <w:rPr>
          <w:rFonts w:hint="eastAsia"/>
          <w:lang w:val="en-US" w:eastAsia="zh-CN"/>
        </w:rPr>
      </w:pPr>
      <w:r>
        <w:rPr>
          <w:rFonts w:hint="eastAsia"/>
          <w:lang w:val="en-US" w:eastAsia="zh-CN"/>
        </w:rPr>
        <w:t>吊装作业区域内不得摆放氧气瓶、乙炔瓶等易燃易爆气瓶。</w:t>
      </w:r>
    </w:p>
    <w:p w14:paraId="0AC686EF">
      <w:pPr>
        <w:pStyle w:val="165"/>
        <w:rPr>
          <w:rFonts w:hint="eastAsia"/>
          <w:lang w:val="en-US" w:eastAsia="zh-CN"/>
        </w:rPr>
      </w:pPr>
      <w:r>
        <w:rPr>
          <w:rFonts w:hint="eastAsia"/>
          <w:lang w:val="en-US" w:eastAsia="zh-CN"/>
        </w:rPr>
        <w:t>夜间进行吊装作业时，现场应配备充足的照明设施和有效的警示灯光。</w:t>
      </w:r>
    </w:p>
    <w:p w14:paraId="1277F4FF">
      <w:pPr>
        <w:pStyle w:val="165"/>
        <w:rPr>
          <w:rFonts w:hint="eastAsia"/>
          <w:lang w:val="en-US" w:eastAsia="zh-CN"/>
        </w:rPr>
      </w:pPr>
      <w:r>
        <w:rPr>
          <w:rFonts w:hint="eastAsia"/>
          <w:lang w:val="en-US" w:eastAsia="zh-CN"/>
        </w:rPr>
        <w:t>在沟槽附近进行吊装作业时，起重机（含支腿）与沟槽边缘应保持安全距离。初始距离不应小于2m，并应随基坑（沟槽）深度的增加相应增大该距离。</w:t>
      </w:r>
    </w:p>
    <w:p w14:paraId="489BB88E">
      <w:pPr>
        <w:pStyle w:val="165"/>
        <w:rPr>
          <w:rFonts w:hint="eastAsia"/>
          <w:lang w:val="en-US" w:eastAsia="zh-CN"/>
        </w:rPr>
      </w:pPr>
      <w:r>
        <w:rPr>
          <w:rFonts w:hint="eastAsia"/>
          <w:lang w:val="en-US" w:eastAsia="zh-CN"/>
        </w:rPr>
        <w:t>当作业现场周边存在电力架空线路时，应安排专人进行全程监护。</w:t>
      </w:r>
    </w:p>
    <w:p w14:paraId="2A35A35A">
      <w:pPr>
        <w:pStyle w:val="165"/>
        <w:rPr>
          <w:rFonts w:hint="eastAsia"/>
          <w:lang w:val="en-US" w:eastAsia="zh-CN"/>
        </w:rPr>
      </w:pPr>
      <w:r>
        <w:rPr>
          <w:rFonts w:hint="eastAsia"/>
          <w:lang w:val="en-US" w:eastAsia="zh-CN"/>
        </w:rPr>
        <w:t>起重机不应在电力架空线路正下方进行作业。在电力架空线路一侧作业时，起重机任何部位、吊物、绳索等与架空线路之间的最小安全距离应符合国家现行相关标准的规定。</w:t>
      </w:r>
    </w:p>
    <w:p w14:paraId="4944B917">
      <w:pPr>
        <w:pStyle w:val="165"/>
        <w:rPr>
          <w:rFonts w:hint="eastAsia"/>
          <w:lang w:val="en-US" w:eastAsia="zh-CN"/>
        </w:rPr>
      </w:pPr>
      <w:r>
        <w:rPr>
          <w:rFonts w:hint="eastAsia"/>
          <w:lang w:val="en-US" w:eastAsia="zh-CN"/>
        </w:rPr>
        <w:t>指挥人员在发出起吊指令前，应完成以下检查并确认安全：</w:t>
      </w:r>
    </w:p>
    <w:p w14:paraId="7C263D24">
      <w:pPr>
        <w:pStyle w:val="133"/>
        <w:rPr>
          <w:rFonts w:hint="eastAsia"/>
          <w:lang w:val="en-US" w:eastAsia="zh-CN"/>
        </w:rPr>
      </w:pPr>
      <w:r>
        <w:rPr>
          <w:rFonts w:hint="eastAsia"/>
          <w:lang w:val="en-US" w:eastAsia="zh-CN"/>
        </w:rPr>
        <w:t>吊索具完好、连接正确、固定牢靠；</w:t>
      </w:r>
    </w:p>
    <w:p w14:paraId="5312B9F5">
      <w:pPr>
        <w:pStyle w:val="133"/>
        <w:rPr>
          <w:rFonts w:hint="eastAsia"/>
          <w:lang w:val="en-US" w:eastAsia="zh-CN"/>
        </w:rPr>
      </w:pPr>
      <w:r>
        <w:rPr>
          <w:rFonts w:hint="eastAsia"/>
          <w:lang w:val="en-US" w:eastAsia="zh-CN"/>
        </w:rPr>
        <w:t>起重机基础无沉陷、支腿牢靠；</w:t>
      </w:r>
    </w:p>
    <w:p w14:paraId="7E7FB1FE">
      <w:pPr>
        <w:pStyle w:val="133"/>
        <w:rPr>
          <w:rFonts w:hint="eastAsia"/>
          <w:lang w:val="en-US" w:eastAsia="zh-CN"/>
        </w:rPr>
      </w:pPr>
      <w:r>
        <w:rPr>
          <w:rFonts w:hint="eastAsia"/>
          <w:lang w:val="en-US" w:eastAsia="zh-CN"/>
        </w:rPr>
        <w:t>起重机起重臂及吊物回转范围内无障碍物和电力架空线；</w:t>
      </w:r>
    </w:p>
    <w:p w14:paraId="5AE29AA2">
      <w:pPr>
        <w:pStyle w:val="133"/>
        <w:rPr>
          <w:rFonts w:hint="eastAsia"/>
          <w:lang w:val="en-US" w:eastAsia="zh-CN"/>
        </w:rPr>
      </w:pPr>
      <w:r>
        <w:rPr>
          <w:rFonts w:hint="eastAsia"/>
          <w:lang w:val="en-US" w:eastAsia="zh-CN"/>
        </w:rPr>
        <w:t>作业人员站位安全，无处于危险区域者；</w:t>
      </w:r>
    </w:p>
    <w:p w14:paraId="0D73A638">
      <w:pPr>
        <w:pStyle w:val="133"/>
        <w:rPr>
          <w:rFonts w:hint="eastAsia"/>
          <w:lang w:val="en-US" w:eastAsia="zh-CN"/>
        </w:rPr>
      </w:pPr>
      <w:r>
        <w:rPr>
          <w:rFonts w:hint="eastAsia"/>
          <w:lang w:val="en-US" w:eastAsia="zh-CN"/>
        </w:rPr>
        <w:t>被吊物件（如管道）已完全脱离与其他物件的连接或束缚；</w:t>
      </w:r>
    </w:p>
    <w:p w14:paraId="434F1444">
      <w:pPr>
        <w:pStyle w:val="133"/>
        <w:rPr>
          <w:rFonts w:hint="eastAsia"/>
          <w:lang w:val="en-US" w:eastAsia="zh-CN"/>
        </w:rPr>
      </w:pPr>
      <w:r>
        <w:rPr>
          <w:rFonts w:hint="eastAsia"/>
          <w:lang w:val="en-US" w:eastAsia="zh-CN"/>
        </w:rPr>
        <w:t>现场警戒人员已就位并履行职责。</w:t>
      </w:r>
    </w:p>
    <w:p w14:paraId="7D355FCF">
      <w:pPr>
        <w:pStyle w:val="133"/>
        <w:numPr>
          <w:ilvl w:val="0"/>
          <w:numId w:val="0"/>
        </w:numPr>
        <w:ind w:left="425" w:leftChars="0"/>
        <w:rPr>
          <w:rFonts w:hint="eastAsia"/>
          <w:lang w:val="en-US" w:eastAsia="zh-CN"/>
        </w:rPr>
      </w:pPr>
      <w:r>
        <w:rPr>
          <w:rFonts w:hint="eastAsia"/>
          <w:lang w:val="en-US" w:eastAsia="zh-CN"/>
        </w:rPr>
        <w:t>全部检查确认无误后，方可向起重机司机发出起吊指令。</w:t>
      </w:r>
    </w:p>
    <w:p w14:paraId="46BCF6F9">
      <w:pPr>
        <w:pStyle w:val="66"/>
        <w:spacing w:before="120" w:after="120"/>
      </w:pPr>
      <w:r>
        <w:rPr>
          <w:rFonts w:hint="eastAsia"/>
        </w:rPr>
        <w:t>作业过程管理</w:t>
      </w:r>
    </w:p>
    <w:p w14:paraId="1193B7F5">
      <w:pPr>
        <w:pStyle w:val="165"/>
        <w:rPr>
          <w:rFonts w:hint="eastAsia"/>
          <w:lang w:val="en-US" w:eastAsia="zh-CN"/>
        </w:rPr>
      </w:pPr>
      <w:r>
        <w:rPr>
          <w:rFonts w:hint="eastAsia"/>
          <w:lang w:val="en-US" w:eastAsia="zh-CN"/>
        </w:rPr>
        <w:t>作业前应办理吊装作业许可手续，审批后方可开展吊装作业。</w:t>
      </w:r>
    </w:p>
    <w:p w14:paraId="3614DBF9">
      <w:pPr>
        <w:pStyle w:val="165"/>
        <w:rPr>
          <w:rFonts w:hint="eastAsia"/>
          <w:lang w:val="en-US" w:eastAsia="zh-CN"/>
        </w:rPr>
      </w:pPr>
      <w:r>
        <w:rPr>
          <w:rFonts w:hint="eastAsia"/>
          <w:lang w:val="en-US" w:eastAsia="zh-CN"/>
        </w:rPr>
        <w:t>从事吊装作业的人员应经专业培训并考核合格。其中，信号工、司索工、起重机司机应持有效特种作业操作证上岗。</w:t>
      </w:r>
    </w:p>
    <w:p w14:paraId="43020676">
      <w:pPr>
        <w:pStyle w:val="165"/>
        <w:rPr>
          <w:rFonts w:hint="eastAsia"/>
          <w:lang w:val="en-US" w:eastAsia="zh-CN"/>
        </w:rPr>
      </w:pPr>
      <w:r>
        <w:rPr>
          <w:rFonts w:hint="eastAsia"/>
          <w:lang w:val="en-US" w:eastAsia="zh-CN"/>
        </w:rPr>
        <w:t>起重机应经检查确认处于安全状态，吊索具应无缺陷且符合使用要求。</w:t>
      </w:r>
    </w:p>
    <w:p w14:paraId="47B44DA5">
      <w:pPr>
        <w:pStyle w:val="165"/>
        <w:rPr>
          <w:rFonts w:hint="eastAsia"/>
          <w:lang w:val="en-US" w:eastAsia="zh-CN"/>
        </w:rPr>
      </w:pPr>
      <w:r>
        <w:rPr>
          <w:rFonts w:hint="eastAsia"/>
          <w:lang w:val="en-US" w:eastAsia="zh-CN"/>
        </w:rPr>
        <w:t>作业环境应无影响吊装安全的隐患；当存在风险时，应采取有效的防护措施。气象条件应符合吊装作业安全要求，夜间或光线不足时应保证照明充足。</w:t>
      </w:r>
    </w:p>
    <w:p w14:paraId="2F030A81">
      <w:pPr>
        <w:pStyle w:val="165"/>
        <w:rPr>
          <w:rFonts w:hint="eastAsia"/>
          <w:lang w:val="en-US" w:eastAsia="zh-CN"/>
        </w:rPr>
      </w:pPr>
      <w:r>
        <w:rPr>
          <w:rFonts w:hint="eastAsia"/>
          <w:lang w:val="en-US" w:eastAsia="zh-CN"/>
        </w:rPr>
        <w:t>吊装作业应设专人统一指挥。指挥信号应符合相关标准规定，并确保所有参与人员熟悉和理解。</w:t>
      </w:r>
    </w:p>
    <w:p w14:paraId="72C8A589">
      <w:pPr>
        <w:pStyle w:val="165"/>
        <w:rPr>
          <w:rFonts w:hint="eastAsia"/>
          <w:lang w:val="en-US" w:eastAsia="zh-CN"/>
        </w:rPr>
      </w:pPr>
      <w:r>
        <w:rPr>
          <w:rFonts w:hint="eastAsia"/>
          <w:lang w:val="en-US" w:eastAsia="zh-CN"/>
        </w:rPr>
        <w:t>司索工应正确捆绑吊物，确保吊点合理、牢固。</w:t>
      </w:r>
    </w:p>
    <w:p w14:paraId="00DC01B1">
      <w:pPr>
        <w:pStyle w:val="165"/>
        <w:rPr>
          <w:rFonts w:hint="eastAsia"/>
          <w:lang w:val="en-US" w:eastAsia="zh-CN"/>
        </w:rPr>
      </w:pPr>
      <w:r>
        <w:rPr>
          <w:rFonts w:hint="eastAsia"/>
          <w:lang w:val="en-US" w:eastAsia="zh-CN"/>
        </w:rPr>
        <w:t>正式起吊前应进行试吊，将吊物吊离地面 100 mm～200 mm，检查起重机稳定性、制动可靠性、吊物平衡性及绑扎牢固性，确认无误后方可继续起吊。</w:t>
      </w:r>
    </w:p>
    <w:p w14:paraId="0B9B67DA">
      <w:pPr>
        <w:pStyle w:val="165"/>
        <w:rPr>
          <w:rFonts w:hint="eastAsia"/>
          <w:lang w:val="en-US" w:eastAsia="zh-CN"/>
        </w:rPr>
      </w:pPr>
      <w:r>
        <w:rPr>
          <w:rFonts w:hint="eastAsia"/>
          <w:lang w:val="en-US" w:eastAsia="zh-CN"/>
        </w:rPr>
        <w:t>吊装作业过程中，起升、回转、变幅、行走等操作应平稳，避免急停、急走或吊物摆动。吊物下方不得站人或穿越。</w:t>
      </w:r>
    </w:p>
    <w:p w14:paraId="60F3B964">
      <w:pPr>
        <w:pStyle w:val="165"/>
        <w:rPr>
          <w:rFonts w:hint="eastAsia"/>
          <w:lang w:val="en-US" w:eastAsia="zh-CN"/>
        </w:rPr>
      </w:pPr>
      <w:r>
        <w:rPr>
          <w:rFonts w:hint="eastAsia"/>
          <w:lang w:val="en-US" w:eastAsia="zh-CN"/>
        </w:rPr>
        <w:t>现场应设专职安全管理人员进行全过程监护。</w:t>
      </w:r>
    </w:p>
    <w:p w14:paraId="6363CF6A">
      <w:pPr>
        <w:pStyle w:val="165"/>
        <w:rPr>
          <w:rFonts w:hint="eastAsia"/>
          <w:lang w:val="en-US" w:eastAsia="zh-CN"/>
        </w:rPr>
      </w:pPr>
      <w:r>
        <w:rPr>
          <w:rFonts w:hint="eastAsia"/>
          <w:lang w:val="en-US" w:eastAsia="zh-CN"/>
        </w:rPr>
        <w:t>吊装作业应严格执行“十不吊”原则。</w:t>
      </w:r>
    </w:p>
    <w:p w14:paraId="5BF87180">
      <w:pPr>
        <w:pStyle w:val="165"/>
        <w:rPr>
          <w:rFonts w:hint="eastAsia"/>
          <w:lang w:val="en-US" w:eastAsia="zh-CN"/>
        </w:rPr>
      </w:pPr>
      <w:r>
        <w:rPr>
          <w:rFonts w:hint="eastAsia"/>
          <w:lang w:val="en-US" w:eastAsia="zh-CN"/>
        </w:rPr>
        <w:t>吊物应安全就位并支撑稳固后摘除吊钩，作业结束后应将起重机吊臂、吊钩收回至规定位置，应收回全部吊索具、清理作业现场、撤除警戒设施，完成吊装作业许可证的关闭与归档，实现闭环管理。</w:t>
      </w:r>
    </w:p>
    <w:p w14:paraId="5DD72965">
      <w:pPr>
        <w:pStyle w:val="106"/>
        <w:spacing w:before="120" w:after="120"/>
      </w:pPr>
      <w:bookmarkStart w:id="78" w:name="_Toc4127"/>
      <w:r>
        <w:rPr>
          <w:rFonts w:hint="eastAsia"/>
        </w:rPr>
        <w:t>临时用电管理</w:t>
      </w:r>
      <w:bookmarkEnd w:id="78"/>
    </w:p>
    <w:p w14:paraId="225BF071">
      <w:pPr>
        <w:pStyle w:val="66"/>
        <w:spacing w:before="120" w:after="120"/>
        <w:rPr>
          <w:rFonts w:hint="eastAsia"/>
        </w:rPr>
      </w:pPr>
      <w:r>
        <w:rPr>
          <w:rFonts w:hint="eastAsia"/>
          <w:lang w:val="en-US" w:eastAsia="zh-CN"/>
        </w:rPr>
        <w:t>一般规定</w:t>
      </w:r>
    </w:p>
    <w:p w14:paraId="7654646C">
      <w:pPr>
        <w:pStyle w:val="165"/>
        <w:rPr>
          <w:rFonts w:hint="eastAsia"/>
          <w:lang w:val="en-US" w:eastAsia="zh-CN"/>
        </w:rPr>
      </w:pPr>
      <w:r>
        <w:rPr>
          <w:rFonts w:hint="eastAsia"/>
          <w:lang w:val="en-US" w:eastAsia="zh-CN"/>
        </w:rPr>
        <w:t>从事临时用电作业的电工应持有有效的特种作业操作资格证。</w:t>
      </w:r>
    </w:p>
    <w:p w14:paraId="460D9787">
      <w:pPr>
        <w:pStyle w:val="165"/>
        <w:rPr>
          <w:rFonts w:hint="eastAsia"/>
          <w:lang w:val="en-US" w:eastAsia="zh-CN"/>
        </w:rPr>
      </w:pPr>
      <w:r>
        <w:rPr>
          <w:rFonts w:hint="eastAsia"/>
          <w:lang w:val="en-US" w:eastAsia="zh-CN"/>
        </w:rPr>
        <w:t>其他用电人员应接受临时用电安全教育培训和技术交底，经考核合格后方可上岗。</w:t>
      </w:r>
    </w:p>
    <w:p w14:paraId="0544B547">
      <w:pPr>
        <w:pStyle w:val="165"/>
        <w:rPr>
          <w:rFonts w:hint="eastAsia"/>
          <w:lang w:val="en-US" w:eastAsia="zh-CN"/>
        </w:rPr>
      </w:pPr>
      <w:r>
        <w:rPr>
          <w:rFonts w:hint="eastAsia"/>
          <w:lang w:val="en-US" w:eastAsia="zh-CN"/>
        </w:rPr>
        <w:t>电工应每日对配电箱、开关箱进行安全检查。</w:t>
      </w:r>
    </w:p>
    <w:p w14:paraId="0B6B713E">
      <w:pPr>
        <w:pStyle w:val="165"/>
        <w:rPr>
          <w:rFonts w:hint="eastAsia"/>
          <w:lang w:val="en-US" w:eastAsia="zh-CN"/>
        </w:rPr>
      </w:pPr>
      <w:r>
        <w:rPr>
          <w:rFonts w:hint="eastAsia"/>
          <w:lang w:val="en-US" w:eastAsia="zh-CN"/>
        </w:rPr>
        <w:t>临时用电设备及线路的安装、巡检、维修应由电工完成，并应设专人监护。</w:t>
      </w:r>
    </w:p>
    <w:p w14:paraId="07AC5048">
      <w:pPr>
        <w:pStyle w:val="165"/>
        <w:rPr>
          <w:rFonts w:hint="eastAsia"/>
          <w:lang w:val="en-US" w:eastAsia="zh-CN"/>
        </w:rPr>
      </w:pPr>
      <w:r>
        <w:rPr>
          <w:rFonts w:hint="eastAsia"/>
          <w:lang w:val="en-US" w:eastAsia="zh-CN"/>
        </w:rPr>
        <w:t>各类用电人员应掌握安全用电基本知识和所用设备的性能，并应符合下列规定：</w:t>
      </w:r>
    </w:p>
    <w:p w14:paraId="5AECB930">
      <w:pPr>
        <w:pStyle w:val="133"/>
        <w:rPr>
          <w:rFonts w:hint="eastAsia"/>
          <w:lang w:val="en-US" w:eastAsia="zh-CN"/>
        </w:rPr>
      </w:pPr>
      <w:r>
        <w:rPr>
          <w:rFonts w:hint="eastAsia"/>
          <w:lang w:val="en-US" w:eastAsia="zh-CN"/>
        </w:rPr>
        <w:t>使用电气设备前，应按规定穿戴和配备相应的安全防护用品，检查电气装置和保护设施，设备不应带缺陷运行；</w:t>
      </w:r>
    </w:p>
    <w:p w14:paraId="2A0F48E2">
      <w:pPr>
        <w:pStyle w:val="133"/>
        <w:rPr>
          <w:rFonts w:hint="eastAsia"/>
          <w:lang w:val="en-US" w:eastAsia="zh-CN"/>
        </w:rPr>
      </w:pPr>
      <w:r>
        <w:rPr>
          <w:rFonts w:hint="eastAsia"/>
          <w:lang w:val="en-US" w:eastAsia="zh-CN"/>
        </w:rPr>
        <w:t>负责保管和维护所用设备，发现隐患应及时报告和处理；</w:t>
      </w:r>
    </w:p>
    <w:p w14:paraId="025AB714">
      <w:pPr>
        <w:pStyle w:val="133"/>
        <w:rPr>
          <w:rFonts w:hint="eastAsia"/>
          <w:lang w:val="en-US" w:eastAsia="zh-CN"/>
        </w:rPr>
      </w:pPr>
      <w:r>
        <w:rPr>
          <w:rFonts w:hint="eastAsia"/>
          <w:lang w:val="en-US" w:eastAsia="zh-CN"/>
        </w:rPr>
        <w:t>暂时停用设备的开关箱应断开电源隔离开关，并关门上锁；</w:t>
      </w:r>
    </w:p>
    <w:p w14:paraId="7E59EB23">
      <w:pPr>
        <w:pStyle w:val="133"/>
        <w:rPr>
          <w:rFonts w:hint="eastAsia"/>
          <w:lang w:val="en-US" w:eastAsia="zh-CN"/>
        </w:rPr>
      </w:pPr>
      <w:r>
        <w:rPr>
          <w:rFonts w:hint="eastAsia"/>
          <w:lang w:val="en-US" w:eastAsia="zh-CN"/>
        </w:rPr>
        <w:t>移动电气设备前，应由电工切断电源并采取妥善处理措施。</w:t>
      </w:r>
    </w:p>
    <w:p w14:paraId="12927D5B">
      <w:pPr>
        <w:pStyle w:val="165"/>
        <w:rPr>
          <w:rFonts w:hint="eastAsia"/>
          <w:color w:val="auto"/>
          <w:highlight w:val="none"/>
        </w:rPr>
      </w:pPr>
      <w:r>
        <w:rPr>
          <w:rFonts w:hint="eastAsia"/>
          <w:color w:val="auto"/>
          <w:highlight w:val="none"/>
          <w:lang w:val="en-US" w:eastAsia="zh-CN"/>
        </w:rPr>
        <w:t>手持电动工具应由专职人员每年至少全面检查一次，首次</w:t>
      </w:r>
      <w:r>
        <w:rPr>
          <w:rFonts w:hint="eastAsia"/>
          <w:color w:val="auto"/>
          <w:highlight w:val="none"/>
        </w:rPr>
        <w:t>投入使用或长期搁置</w:t>
      </w:r>
      <w:r>
        <w:rPr>
          <w:rFonts w:hint="eastAsia"/>
          <w:color w:val="auto"/>
          <w:highlight w:val="none"/>
          <w:lang w:val="en-US" w:eastAsia="zh-CN"/>
        </w:rPr>
        <w:t>超三个月</w:t>
      </w:r>
      <w:r>
        <w:rPr>
          <w:rFonts w:hint="eastAsia"/>
          <w:color w:val="auto"/>
          <w:highlight w:val="none"/>
        </w:rPr>
        <w:t>的电动工</w:t>
      </w:r>
      <w:r>
        <w:rPr>
          <w:rFonts w:hint="eastAsia"/>
          <w:color w:val="auto"/>
          <w:highlight w:val="none"/>
          <w:lang w:val="en-US" w:eastAsia="zh-CN"/>
        </w:rPr>
        <w:t>具使用前，应进行绝缘电阻测试，测试合格后方可使用，应在显著位置粘贴标明检测时间的合格标识。</w:t>
      </w:r>
    </w:p>
    <w:p w14:paraId="2E994657">
      <w:pPr>
        <w:pStyle w:val="165"/>
        <w:rPr>
          <w:rFonts w:hint="eastAsia"/>
        </w:rPr>
      </w:pPr>
      <w:r>
        <w:rPr>
          <w:rFonts w:hint="eastAsia"/>
          <w:lang w:val="en-US" w:eastAsia="zh-CN"/>
        </w:rPr>
        <w:t>临时用电的设计、安装、使用与管理除符合本文件规定外，还应符合</w:t>
      </w:r>
      <w:r>
        <w:rPr>
          <w:rFonts w:hint="eastAsia"/>
          <w:highlight w:val="none"/>
          <w:lang w:val="en-US" w:eastAsia="zh-CN"/>
        </w:rPr>
        <w:t>JGJ/T 46</w:t>
      </w:r>
      <w:r>
        <w:rPr>
          <w:rFonts w:hint="eastAsia"/>
          <w:lang w:val="en-US" w:eastAsia="zh-CN"/>
        </w:rPr>
        <w:t>的规定。</w:t>
      </w:r>
    </w:p>
    <w:p w14:paraId="3DAFE2BC">
      <w:pPr>
        <w:pStyle w:val="66"/>
        <w:spacing w:before="120" w:after="120"/>
        <w:rPr>
          <w:rFonts w:hint="eastAsia"/>
        </w:rPr>
      </w:pPr>
      <w:r>
        <w:rPr>
          <w:rFonts w:hint="eastAsia"/>
          <w:lang w:val="en-US" w:eastAsia="zh-CN"/>
        </w:rPr>
        <w:t>管理要求</w:t>
      </w:r>
    </w:p>
    <w:p w14:paraId="70915050">
      <w:pPr>
        <w:pStyle w:val="165"/>
        <w:rPr>
          <w:rFonts w:hint="eastAsia"/>
          <w:lang w:val="en-US" w:eastAsia="zh-CN"/>
        </w:rPr>
      </w:pPr>
      <w:r>
        <w:rPr>
          <w:rFonts w:hint="eastAsia"/>
          <w:lang w:val="en-US" w:eastAsia="zh-CN"/>
        </w:rPr>
        <w:t>施工现场临时用电工程采用的电源中性点直接接地的220 V/380 V三相四线制低压电力系统，应符合下列规定：</w:t>
      </w:r>
    </w:p>
    <w:p w14:paraId="148AE459">
      <w:pPr>
        <w:pStyle w:val="133"/>
        <w:rPr>
          <w:rFonts w:hint="eastAsia"/>
          <w:lang w:val="en-US" w:eastAsia="zh-CN"/>
        </w:rPr>
      </w:pPr>
      <w:r>
        <w:rPr>
          <w:rFonts w:hint="eastAsia"/>
          <w:lang w:val="en-US" w:eastAsia="zh-CN"/>
        </w:rPr>
        <w:t>配电系统应采用三级配电；</w:t>
      </w:r>
    </w:p>
    <w:p w14:paraId="79828BA2">
      <w:pPr>
        <w:pStyle w:val="133"/>
        <w:rPr>
          <w:rFonts w:hint="eastAsia"/>
          <w:lang w:val="en-US" w:eastAsia="zh-CN"/>
        </w:rPr>
      </w:pPr>
      <w:r>
        <w:rPr>
          <w:rFonts w:hint="eastAsia"/>
          <w:lang w:val="en-US" w:eastAsia="zh-CN"/>
        </w:rPr>
        <w:t>接地形式应采用 TN-S 系统；</w:t>
      </w:r>
    </w:p>
    <w:p w14:paraId="000727AF">
      <w:pPr>
        <w:pStyle w:val="133"/>
        <w:rPr>
          <w:rFonts w:hint="eastAsia"/>
          <w:lang w:val="en-US" w:eastAsia="zh-CN"/>
        </w:rPr>
      </w:pPr>
      <w:r>
        <w:rPr>
          <w:rFonts w:hint="eastAsia"/>
          <w:lang w:val="en-US" w:eastAsia="zh-CN"/>
        </w:rPr>
        <w:t>漏电保护系统应采用二级剩余电流动作保护。</w:t>
      </w:r>
    </w:p>
    <w:p w14:paraId="32305B8A">
      <w:pPr>
        <w:pStyle w:val="165"/>
        <w:rPr>
          <w:rFonts w:hint="eastAsia"/>
          <w:lang w:val="en-US" w:eastAsia="zh-CN"/>
        </w:rPr>
      </w:pPr>
      <w:r>
        <w:rPr>
          <w:rFonts w:hint="eastAsia"/>
          <w:lang w:val="en-US" w:eastAsia="zh-CN"/>
        </w:rPr>
        <w:t>配电系统应设置总配电箱、分配电箱、开关箱，实行三级配电。</w:t>
      </w:r>
    </w:p>
    <w:p w14:paraId="27637767">
      <w:pPr>
        <w:pStyle w:val="165"/>
        <w:rPr>
          <w:rFonts w:hint="eastAsia"/>
          <w:highlight w:val="none"/>
          <w:lang w:val="en-US" w:eastAsia="zh-CN"/>
        </w:rPr>
      </w:pPr>
      <w:r>
        <w:rPr>
          <w:rFonts w:hint="eastAsia"/>
          <w:highlight w:val="none"/>
          <w:lang w:val="en-US" w:eastAsia="zh-CN"/>
        </w:rPr>
        <w:t>临时用电配电箱的选型、配置与安装应符合JGJ/T 46的要求，配电箱示意图参考附录M。</w:t>
      </w:r>
    </w:p>
    <w:p w14:paraId="22576C94">
      <w:pPr>
        <w:pStyle w:val="165"/>
        <w:rPr>
          <w:rFonts w:hint="eastAsia"/>
          <w:lang w:val="en-US" w:eastAsia="zh-CN"/>
        </w:rPr>
      </w:pPr>
      <w:r>
        <w:rPr>
          <w:rFonts w:hint="eastAsia"/>
          <w:lang w:val="en-US" w:eastAsia="zh-CN"/>
        </w:rPr>
        <w:t>在施工现场专用变压器供电的 TN-S 接零保护系统中，电气设备的金属外壳应与保护接地导体（PE）可靠连接。保护接地导体（PE）应从工作接地线、配电室（总配电箱）电源侧中性导体（N）处引出。</w:t>
      </w:r>
    </w:p>
    <w:p w14:paraId="7F6BAAAC">
      <w:pPr>
        <w:pStyle w:val="66"/>
        <w:spacing w:before="120" w:after="120"/>
        <w:rPr>
          <w:highlight w:val="none"/>
        </w:rPr>
      </w:pPr>
      <w:r>
        <w:rPr>
          <w:rFonts w:hint="eastAsia"/>
          <w:highlight w:val="none"/>
        </w:rPr>
        <w:t>易燃易爆场所临电作业管理</w:t>
      </w:r>
    </w:p>
    <w:p w14:paraId="607F7AE6">
      <w:pPr>
        <w:pStyle w:val="165"/>
        <w:rPr>
          <w:rFonts w:hint="eastAsia"/>
          <w:highlight w:val="none"/>
          <w:lang w:val="en-US" w:eastAsia="zh-CN"/>
        </w:rPr>
      </w:pPr>
      <w:r>
        <w:rPr>
          <w:rFonts w:hint="eastAsia"/>
          <w:highlight w:val="none"/>
          <w:lang w:val="en-US" w:eastAsia="zh-CN"/>
        </w:rPr>
        <w:t>易燃易爆场所临时用电的安装、接线、维修等操作应使用防爆型可燃气体检测仪对作业环境进行连续或定时监测，当可燃气体浓度超过安全下限时，不得进行临电作业。</w:t>
      </w:r>
    </w:p>
    <w:p w14:paraId="159AB17C">
      <w:pPr>
        <w:pStyle w:val="165"/>
        <w:rPr>
          <w:rFonts w:hint="eastAsia"/>
          <w:highlight w:val="none"/>
          <w:lang w:val="en-US" w:eastAsia="zh-CN"/>
        </w:rPr>
      </w:pPr>
      <w:r>
        <w:rPr>
          <w:rFonts w:hint="eastAsia"/>
          <w:highlight w:val="none"/>
          <w:lang w:val="en-US" w:eastAsia="zh-CN"/>
        </w:rPr>
        <w:t>所有电气设备应满足防爆要求，严禁使用非防爆或破损、老化的电气设备，配电箱本身也需要满足防爆要求。</w:t>
      </w:r>
    </w:p>
    <w:p w14:paraId="6A97930C">
      <w:pPr>
        <w:pStyle w:val="165"/>
        <w:rPr>
          <w:rFonts w:hint="eastAsia"/>
          <w:highlight w:val="none"/>
          <w:lang w:val="en-US" w:eastAsia="zh-CN"/>
        </w:rPr>
      </w:pPr>
      <w:r>
        <w:rPr>
          <w:rFonts w:hint="eastAsia"/>
          <w:highlight w:val="none"/>
          <w:lang w:val="en-US" w:eastAsia="zh-CN"/>
        </w:rPr>
        <w:t>规划线路走向，确保避开高温及机械损伤区域，所有用电设备金属外壳应可靠接地。</w:t>
      </w:r>
    </w:p>
    <w:p w14:paraId="2BF90076">
      <w:pPr>
        <w:pStyle w:val="165"/>
        <w:rPr>
          <w:rFonts w:hint="eastAsia"/>
          <w:highlight w:val="none"/>
          <w:lang w:val="en-US" w:eastAsia="zh-CN"/>
        </w:rPr>
      </w:pPr>
      <w:r>
        <w:rPr>
          <w:rFonts w:hint="eastAsia"/>
          <w:highlight w:val="none"/>
          <w:lang w:val="en-US" w:eastAsia="zh-CN"/>
        </w:rPr>
        <w:t>易燃易爆场所临时用电作业点应安排专人进行安全监护。</w:t>
      </w:r>
    </w:p>
    <w:p w14:paraId="4671624A">
      <w:pPr>
        <w:pStyle w:val="66"/>
        <w:spacing w:before="120" w:after="120"/>
        <w:rPr>
          <w:rFonts w:hint="eastAsia"/>
        </w:rPr>
      </w:pPr>
      <w:r>
        <w:rPr>
          <w:rFonts w:hint="eastAsia"/>
        </w:rPr>
        <w:t>外电防护</w:t>
      </w:r>
    </w:p>
    <w:p w14:paraId="3C52E838">
      <w:pPr>
        <w:pStyle w:val="165"/>
        <w:rPr>
          <w:rFonts w:hint="eastAsia"/>
          <w:lang w:val="en-US" w:eastAsia="zh-CN"/>
        </w:rPr>
      </w:pPr>
      <w:r>
        <w:rPr>
          <w:rFonts w:hint="eastAsia"/>
          <w:lang w:val="en-US" w:eastAsia="zh-CN"/>
        </w:rPr>
        <w:t>施工作业时，外电架空线路正下方不应进行人员作业、搭建生活设施、堆放建筑材料、周转材料及其他杂物的活动。</w:t>
      </w:r>
    </w:p>
    <w:p w14:paraId="22EF279B">
      <w:pPr>
        <w:pStyle w:val="165"/>
        <w:rPr>
          <w:rFonts w:hint="eastAsia"/>
          <w:lang w:val="en-US" w:eastAsia="zh-CN"/>
        </w:rPr>
      </w:pPr>
      <w:r>
        <w:rPr>
          <w:rFonts w:hint="eastAsia"/>
          <w:lang w:val="en-US" w:eastAsia="zh-CN"/>
        </w:rPr>
        <w:t>外电防护应依据线路电压等级编制专项防护方案，并按规定履行审批程序后实施。</w:t>
      </w:r>
    </w:p>
    <w:p w14:paraId="45E3F0D9">
      <w:pPr>
        <w:pStyle w:val="165"/>
        <w:rPr>
          <w:rFonts w:hint="eastAsia"/>
          <w:lang w:val="en-US" w:eastAsia="zh-CN"/>
        </w:rPr>
      </w:pPr>
      <w:r>
        <w:rPr>
          <w:rFonts w:hint="eastAsia"/>
          <w:lang w:val="en-US" w:eastAsia="zh-CN"/>
        </w:rPr>
        <w:t>外电防护设施应采用木质等绝缘材料搭设。</w:t>
      </w:r>
    </w:p>
    <w:p w14:paraId="778A622C">
      <w:pPr>
        <w:pStyle w:val="165"/>
        <w:rPr>
          <w:rFonts w:hint="eastAsia"/>
          <w:lang w:val="en-US" w:eastAsia="zh-CN"/>
        </w:rPr>
      </w:pPr>
      <w:r>
        <w:rPr>
          <w:rFonts w:hint="eastAsia"/>
          <w:lang w:val="en-US" w:eastAsia="zh-CN"/>
        </w:rPr>
        <w:t>防护设施上端应设置醒目的警示标识。夜间施工时，应设置警示灯或LED灯带，其供电电压应为安全电压。</w:t>
      </w:r>
    </w:p>
    <w:p w14:paraId="05C3D0BD">
      <w:pPr>
        <w:pStyle w:val="66"/>
        <w:spacing w:before="120" w:after="120"/>
        <w:rPr>
          <w:rFonts w:hint="eastAsia"/>
        </w:rPr>
      </w:pPr>
      <w:r>
        <w:rPr>
          <w:rFonts w:hint="eastAsia"/>
        </w:rPr>
        <w:t>电缆敷设</w:t>
      </w:r>
    </w:p>
    <w:p w14:paraId="24A35B56">
      <w:pPr>
        <w:pStyle w:val="165"/>
        <w:rPr>
          <w:rFonts w:hint="eastAsia"/>
          <w:highlight w:val="none"/>
          <w:lang w:val="en-US" w:eastAsia="zh-CN"/>
        </w:rPr>
      </w:pPr>
      <w:r>
        <w:rPr>
          <w:rFonts w:hint="eastAsia"/>
          <w:highlight w:val="none"/>
          <w:lang w:val="en-US" w:eastAsia="zh-CN"/>
        </w:rPr>
        <w:t>电缆线路应采用架空或埋地敷设，不得沿地面明设。</w:t>
      </w:r>
    </w:p>
    <w:p w14:paraId="5CD0DC3D">
      <w:pPr>
        <w:pStyle w:val="165"/>
        <w:rPr>
          <w:rFonts w:hint="eastAsia"/>
          <w:highlight w:val="none"/>
          <w:lang w:val="en-US" w:eastAsia="zh-CN"/>
        </w:rPr>
      </w:pPr>
      <w:r>
        <w:rPr>
          <w:rFonts w:hint="eastAsia"/>
          <w:highlight w:val="none"/>
          <w:lang w:val="en-US" w:eastAsia="zh-CN"/>
        </w:rPr>
        <w:t>电缆线路架空敷设时，应符合下列规定：</w:t>
      </w:r>
    </w:p>
    <w:p w14:paraId="5070B3CA">
      <w:pPr>
        <w:pStyle w:val="133"/>
        <w:rPr>
          <w:rFonts w:hint="eastAsia"/>
          <w:highlight w:val="none"/>
          <w:lang w:val="en-US" w:eastAsia="zh-CN"/>
        </w:rPr>
      </w:pPr>
      <w:r>
        <w:rPr>
          <w:rFonts w:hint="eastAsia"/>
          <w:highlight w:val="none"/>
          <w:lang w:val="en-US" w:eastAsia="zh-CN"/>
        </w:rPr>
        <w:t>架空电缆应沿电杆、支架或墙壁敷设,并采用绝缘子固定，不应沿脚手架、树木或其他设施敷设；</w:t>
      </w:r>
    </w:p>
    <w:p w14:paraId="39B2E8E9">
      <w:pPr>
        <w:pStyle w:val="133"/>
        <w:rPr>
          <w:rFonts w:hint="eastAsia"/>
          <w:highlight w:val="none"/>
          <w:lang w:val="en-US" w:eastAsia="zh-CN"/>
        </w:rPr>
      </w:pPr>
      <w:r>
        <w:rPr>
          <w:rFonts w:hint="eastAsia"/>
          <w:highlight w:val="none"/>
          <w:lang w:val="en-US" w:eastAsia="zh-CN"/>
        </w:rPr>
        <w:t>绑扎线应使用绝缘线，固定点间距应保证电缆能承受自重荷载；</w:t>
      </w:r>
    </w:p>
    <w:p w14:paraId="2A6F9884">
      <w:pPr>
        <w:pStyle w:val="133"/>
        <w:rPr>
          <w:rFonts w:hint="eastAsia"/>
          <w:highlight w:val="none"/>
          <w:lang w:val="en-US" w:eastAsia="zh-CN"/>
        </w:rPr>
      </w:pPr>
      <w:r>
        <w:rPr>
          <w:rFonts w:hint="eastAsia"/>
          <w:highlight w:val="none"/>
          <w:lang w:val="en-US" w:eastAsia="zh-CN"/>
        </w:rPr>
        <w:t>沿墙壁敷设时最大弧垂距地面不小于2.0m；在施工现场不低于4m;穿越机动车道不低于6m；</w:t>
      </w:r>
    </w:p>
    <w:p w14:paraId="3CC170A3">
      <w:pPr>
        <w:pStyle w:val="133"/>
        <w:rPr>
          <w:rFonts w:hint="eastAsia"/>
          <w:highlight w:val="none"/>
          <w:lang w:val="en-US" w:eastAsia="zh-CN"/>
        </w:rPr>
      </w:pPr>
      <w:r>
        <w:rPr>
          <w:rFonts w:hint="eastAsia"/>
          <w:highlight w:val="none"/>
          <w:lang w:val="en-US" w:eastAsia="zh-CN"/>
        </w:rPr>
        <w:t>架空电缆接头应进行机械保护与固定，接头处应采取适当的防振措施、接头在电杆或支架上应固定牢靠；避免因风摆、自重等导致受力；对接头两侧的电缆应留有适当的弧度，避免应力集中，并应进行绝缘与密封处理</w:t>
      </w:r>
    </w:p>
    <w:p w14:paraId="532C5DBB">
      <w:pPr>
        <w:pStyle w:val="165"/>
        <w:rPr>
          <w:rFonts w:hint="eastAsia"/>
          <w:lang w:val="en-US" w:eastAsia="zh-CN"/>
        </w:rPr>
      </w:pPr>
      <w:r>
        <w:rPr>
          <w:rFonts w:hint="eastAsia"/>
          <w:lang w:val="en-US" w:eastAsia="zh-CN"/>
        </w:rPr>
        <w:t>电缆直接埋地敷设时，应符合下列规定：</w:t>
      </w:r>
    </w:p>
    <w:p w14:paraId="1043236B">
      <w:pPr>
        <w:pStyle w:val="133"/>
        <w:rPr>
          <w:rFonts w:hint="eastAsia"/>
          <w:highlight w:val="none"/>
          <w:lang w:val="en-US" w:eastAsia="zh-CN"/>
        </w:rPr>
      </w:pPr>
      <w:r>
        <w:rPr>
          <w:rFonts w:hint="eastAsia"/>
          <w:highlight w:val="none"/>
          <w:lang w:val="en-US" w:eastAsia="zh-CN"/>
        </w:rPr>
        <w:t>埋地敷设宜采用铠装电缆。</w:t>
      </w:r>
    </w:p>
    <w:p w14:paraId="4B094A62">
      <w:pPr>
        <w:pStyle w:val="133"/>
        <w:rPr>
          <w:rFonts w:hint="eastAsia"/>
          <w:highlight w:val="none"/>
          <w:lang w:val="en-US" w:eastAsia="zh-CN"/>
        </w:rPr>
      </w:pPr>
      <w:r>
        <w:rPr>
          <w:rFonts w:hint="eastAsia"/>
          <w:highlight w:val="none"/>
          <w:lang w:val="en-US" w:eastAsia="zh-CN"/>
        </w:rPr>
        <w:t>敷设深度不应小于 0.7 m；</w:t>
      </w:r>
    </w:p>
    <w:p w14:paraId="7A9D3958">
      <w:pPr>
        <w:pStyle w:val="133"/>
        <w:rPr>
          <w:rFonts w:hint="eastAsia"/>
          <w:highlight w:val="none"/>
          <w:lang w:val="en-US" w:eastAsia="zh-CN"/>
        </w:rPr>
      </w:pPr>
      <w:r>
        <w:rPr>
          <w:rFonts w:hint="eastAsia"/>
          <w:highlight w:val="none"/>
          <w:lang w:val="en-US" w:eastAsia="zh-CN"/>
        </w:rPr>
        <w:t>应在电缆上、下、左、右四侧均匀铺设厚度不小于 50 mm 的细砂或软土；</w:t>
      </w:r>
    </w:p>
    <w:p w14:paraId="568C7C8B">
      <w:pPr>
        <w:pStyle w:val="133"/>
        <w:rPr>
          <w:rFonts w:hint="eastAsia"/>
          <w:highlight w:val="none"/>
          <w:lang w:val="en-US" w:eastAsia="zh-CN"/>
        </w:rPr>
      </w:pPr>
      <w:r>
        <w:rPr>
          <w:rFonts w:hint="eastAsia"/>
          <w:highlight w:val="none"/>
          <w:lang w:val="en-US" w:eastAsia="zh-CN"/>
        </w:rPr>
        <w:t>在细砂或软土层上应覆盖砖、混凝土板等硬质保护层。</w:t>
      </w:r>
    </w:p>
    <w:p w14:paraId="3AFFD709">
      <w:pPr>
        <w:pStyle w:val="133"/>
        <w:rPr>
          <w:rFonts w:hint="default"/>
          <w:highlight w:val="none"/>
          <w:lang w:val="en-US" w:eastAsia="zh-CN"/>
        </w:rPr>
      </w:pPr>
      <w:r>
        <w:rPr>
          <w:rFonts w:hint="eastAsia"/>
          <w:highlight w:val="none"/>
          <w:lang w:val="en-US" w:eastAsia="zh-CN"/>
        </w:rPr>
        <w:t>电缆正上方应全线连续铺设醒目的警示带，警示带距电缆的距离为0.3至0.5米，上面应有醒目、牢固的警示语。</w:t>
      </w:r>
    </w:p>
    <w:p w14:paraId="50993BA6">
      <w:pPr>
        <w:pStyle w:val="165"/>
        <w:rPr>
          <w:rFonts w:hint="eastAsia"/>
          <w:highlight w:val="none"/>
          <w:lang w:val="en-US" w:eastAsia="zh-CN"/>
        </w:rPr>
      </w:pPr>
      <w:r>
        <w:rPr>
          <w:rFonts w:hint="eastAsia"/>
          <w:highlight w:val="none"/>
          <w:lang w:val="en-US" w:eastAsia="zh-CN"/>
        </w:rPr>
        <w:t>沿楼外墙或楼内敷设的电缆应采用支架、线夹等方式可靠固定。</w:t>
      </w:r>
    </w:p>
    <w:p w14:paraId="00C900AA">
      <w:pPr>
        <w:pStyle w:val="66"/>
        <w:spacing w:before="120" w:after="120"/>
        <w:rPr>
          <w:rFonts w:hint="eastAsia"/>
        </w:rPr>
      </w:pPr>
      <w:r>
        <w:rPr>
          <w:rFonts w:hint="eastAsia"/>
        </w:rPr>
        <w:t>配电箱及开关箱</w:t>
      </w:r>
    </w:p>
    <w:p w14:paraId="0708971E">
      <w:pPr>
        <w:pStyle w:val="165"/>
        <w:rPr>
          <w:rFonts w:hint="eastAsia"/>
          <w:lang w:val="en-US" w:eastAsia="zh-CN"/>
        </w:rPr>
      </w:pPr>
      <w:r>
        <w:rPr>
          <w:rFonts w:hint="eastAsia"/>
          <w:lang w:val="en-US" w:eastAsia="zh-CN"/>
        </w:rPr>
        <w:t>配电系统应配置总配电箱、分配电箱及开关箱，实行三级配电。</w:t>
      </w:r>
    </w:p>
    <w:p w14:paraId="1DBA84AE">
      <w:pPr>
        <w:pStyle w:val="165"/>
        <w:rPr>
          <w:rFonts w:hint="eastAsia"/>
          <w:lang w:val="en-US" w:eastAsia="zh-CN"/>
        </w:rPr>
      </w:pPr>
      <w:r>
        <w:rPr>
          <w:rFonts w:hint="eastAsia"/>
          <w:lang w:val="en-US" w:eastAsia="zh-CN"/>
        </w:rPr>
        <w:t>配电箱的设置应符合下列要求：</w:t>
      </w:r>
    </w:p>
    <w:p w14:paraId="47010FD3">
      <w:pPr>
        <w:pStyle w:val="133"/>
        <w:rPr>
          <w:rFonts w:hint="eastAsia"/>
          <w:lang w:val="en-US" w:eastAsia="zh-CN"/>
        </w:rPr>
      </w:pPr>
      <w:r>
        <w:rPr>
          <w:rFonts w:hint="eastAsia"/>
          <w:lang w:val="en-US" w:eastAsia="zh-CN"/>
        </w:rPr>
        <w:t>总配电箱应邻近电源进线处设置；</w:t>
      </w:r>
    </w:p>
    <w:p w14:paraId="6EDAE85E">
      <w:pPr>
        <w:pStyle w:val="133"/>
        <w:rPr>
          <w:rFonts w:hint="eastAsia"/>
          <w:lang w:val="en-US" w:eastAsia="zh-CN"/>
        </w:rPr>
      </w:pPr>
      <w:r>
        <w:rPr>
          <w:rFonts w:hint="eastAsia"/>
          <w:lang w:val="en-US" w:eastAsia="zh-CN"/>
        </w:rPr>
        <w:t>分配电箱应设在用电设备或负荷相对集中的区域，分配电箱与开关箱的距离不应超过30 m；</w:t>
      </w:r>
    </w:p>
    <w:p w14:paraId="7605B649">
      <w:pPr>
        <w:pStyle w:val="133"/>
        <w:rPr>
          <w:rFonts w:hint="eastAsia"/>
          <w:lang w:val="en-US" w:eastAsia="zh-CN"/>
        </w:rPr>
      </w:pPr>
      <w:r>
        <w:rPr>
          <w:rFonts w:hint="eastAsia"/>
          <w:lang w:val="en-US" w:eastAsia="zh-CN"/>
        </w:rPr>
        <w:t>开关箱与其控制的固定式用电设备的水平距离不宜超过3m；</w:t>
      </w:r>
    </w:p>
    <w:p w14:paraId="49917179">
      <w:pPr>
        <w:pStyle w:val="133"/>
        <w:rPr>
          <w:rFonts w:hint="eastAsia"/>
          <w:lang w:val="en-US" w:eastAsia="zh-CN"/>
        </w:rPr>
      </w:pPr>
      <w:r>
        <w:rPr>
          <w:rFonts w:hint="eastAsia"/>
          <w:lang w:val="en-US" w:eastAsia="zh-CN"/>
        </w:rPr>
        <w:t>应在楼层墙面设置固定配电箱，以满足该楼层用电需求。</w:t>
      </w:r>
    </w:p>
    <w:p w14:paraId="2AC1D4D0">
      <w:pPr>
        <w:pStyle w:val="165"/>
        <w:rPr>
          <w:rFonts w:hint="eastAsia"/>
          <w:lang w:val="en-US" w:eastAsia="zh-CN"/>
        </w:rPr>
      </w:pPr>
      <w:r>
        <w:rPr>
          <w:rFonts w:hint="eastAsia"/>
          <w:lang w:val="en-US" w:eastAsia="zh-CN"/>
        </w:rPr>
        <w:t>每台用电设备应配备专用开关箱，同一开关箱不应直接控制2台及以上用电设备、用电设备包含插座。</w:t>
      </w:r>
    </w:p>
    <w:p w14:paraId="61B34FD8">
      <w:pPr>
        <w:pStyle w:val="165"/>
        <w:rPr>
          <w:rFonts w:hint="eastAsia"/>
          <w:lang w:val="en-US" w:eastAsia="zh-CN"/>
        </w:rPr>
      </w:pPr>
      <w:r>
        <w:rPr>
          <w:rFonts w:hint="eastAsia"/>
          <w:lang w:val="en-US" w:eastAsia="zh-CN"/>
        </w:rPr>
        <w:t>配电箱的选用应符合国家现行相关标准及行业标准的规定。</w:t>
      </w:r>
    </w:p>
    <w:p w14:paraId="551A26C7">
      <w:pPr>
        <w:pStyle w:val="165"/>
        <w:rPr>
          <w:rFonts w:hint="eastAsia"/>
          <w:lang w:val="en-US" w:eastAsia="zh-CN"/>
        </w:rPr>
      </w:pPr>
      <w:r>
        <w:rPr>
          <w:rFonts w:hint="eastAsia"/>
          <w:lang w:val="en-US" w:eastAsia="zh-CN"/>
        </w:rPr>
        <w:t>配电箱应在明显位置标识维护联系人及联系方式，并每日记录安全巡检情况。</w:t>
      </w:r>
    </w:p>
    <w:p w14:paraId="0B09F6FD">
      <w:pPr>
        <w:pStyle w:val="66"/>
        <w:spacing w:before="120" w:after="120"/>
        <w:rPr>
          <w:rFonts w:hint="eastAsia"/>
        </w:rPr>
      </w:pPr>
      <w:r>
        <w:rPr>
          <w:rFonts w:hint="eastAsia"/>
        </w:rPr>
        <w:t>重复接地和防雷</w:t>
      </w:r>
    </w:p>
    <w:p w14:paraId="47A5DCF7">
      <w:pPr>
        <w:pStyle w:val="165"/>
        <w:rPr>
          <w:rFonts w:hint="eastAsia"/>
          <w:lang w:val="en-US" w:eastAsia="zh-CN"/>
        </w:rPr>
      </w:pPr>
      <w:r>
        <w:rPr>
          <w:rFonts w:hint="eastAsia"/>
          <w:lang w:val="en-US" w:eastAsia="zh-CN"/>
        </w:rPr>
        <w:t>接地装置应符合下列要求：</w:t>
      </w:r>
    </w:p>
    <w:p w14:paraId="3E8E6C79">
      <w:pPr>
        <w:pStyle w:val="133"/>
        <w:rPr>
          <w:rFonts w:hint="eastAsia"/>
          <w:lang w:val="en-US" w:eastAsia="zh-CN"/>
        </w:rPr>
      </w:pPr>
      <w:r>
        <w:rPr>
          <w:rFonts w:hint="eastAsia"/>
          <w:lang w:val="en-US" w:eastAsia="zh-CN"/>
        </w:rPr>
        <w:t>每组接地装置的接地线应采用2根及以上导体，在不同点与接地极做电气连接；</w:t>
      </w:r>
    </w:p>
    <w:p w14:paraId="62BCA0B6">
      <w:pPr>
        <w:pStyle w:val="133"/>
        <w:rPr>
          <w:rFonts w:hint="eastAsia"/>
          <w:lang w:val="en-US" w:eastAsia="zh-CN"/>
        </w:rPr>
      </w:pPr>
      <w:r>
        <w:rPr>
          <w:rFonts w:hint="eastAsia"/>
          <w:lang w:val="en-US" w:eastAsia="zh-CN"/>
        </w:rPr>
        <w:t>不应采用铝导体作为接地体或地下接地线；</w:t>
      </w:r>
    </w:p>
    <w:p w14:paraId="0CA0F7B1">
      <w:pPr>
        <w:pStyle w:val="133"/>
        <w:rPr>
          <w:rFonts w:hint="eastAsia"/>
          <w:lang w:val="en-US" w:eastAsia="zh-CN"/>
        </w:rPr>
      </w:pPr>
      <w:r>
        <w:rPr>
          <w:rFonts w:hint="eastAsia"/>
          <w:lang w:val="en-US" w:eastAsia="zh-CN"/>
        </w:rPr>
        <w:t>垂直接地极宜采用角钢、钢管或光面圆钢，不应采用螺纹钢。</w:t>
      </w:r>
    </w:p>
    <w:p w14:paraId="40250B3F">
      <w:pPr>
        <w:pStyle w:val="165"/>
        <w:rPr>
          <w:rFonts w:hint="eastAsia"/>
          <w:lang w:val="en-US" w:eastAsia="zh-CN"/>
        </w:rPr>
      </w:pPr>
      <w:r>
        <w:rPr>
          <w:rFonts w:hint="eastAsia"/>
          <w:lang w:val="en-US" w:eastAsia="zh-CN"/>
        </w:rPr>
        <w:t>接地体上的接线端子处宜采用螺栓连接或焊接。</w:t>
      </w:r>
    </w:p>
    <w:p w14:paraId="420980AE">
      <w:pPr>
        <w:pStyle w:val="165"/>
        <w:rPr>
          <w:rFonts w:hint="eastAsia"/>
          <w:lang w:val="en-US" w:eastAsia="zh-CN"/>
        </w:rPr>
      </w:pPr>
      <w:r>
        <w:rPr>
          <w:rFonts w:hint="eastAsia"/>
          <w:lang w:val="en-US" w:eastAsia="zh-CN"/>
        </w:rPr>
        <w:t>接地线与接地端子的连接处宜采用铜接线端子压接，不应直接缠绕。</w:t>
      </w:r>
    </w:p>
    <w:p w14:paraId="38B29299">
      <w:pPr>
        <w:pStyle w:val="165"/>
        <w:rPr>
          <w:rFonts w:hint="eastAsia"/>
          <w:lang w:val="en-US" w:eastAsia="zh-CN"/>
        </w:rPr>
      </w:pPr>
      <w:r>
        <w:rPr>
          <w:rFonts w:hint="eastAsia"/>
          <w:lang w:val="en-US" w:eastAsia="zh-CN"/>
        </w:rPr>
        <w:t>保护接地导体（PE）应采用黄绿双色绝缘导线，不应使用其他颜色的导线替代。</w:t>
      </w:r>
    </w:p>
    <w:p w14:paraId="7EF8B7B6">
      <w:pPr>
        <w:pStyle w:val="165"/>
        <w:rPr>
          <w:rFonts w:hint="eastAsia"/>
          <w:lang w:val="en-US" w:eastAsia="zh-CN"/>
        </w:rPr>
      </w:pPr>
      <w:r>
        <w:rPr>
          <w:rFonts w:hint="eastAsia"/>
          <w:lang w:val="en-US" w:eastAsia="zh-CN"/>
        </w:rPr>
        <w:t>塔式起重机等大型设备的接地体引出扁钢应采用螺栓与标准节连接，不应将引出扁钢焊接在标准节上。</w:t>
      </w:r>
    </w:p>
    <w:p w14:paraId="656AFAF9">
      <w:pPr>
        <w:pStyle w:val="165"/>
        <w:rPr>
          <w:rFonts w:hint="eastAsia"/>
          <w:highlight w:val="none"/>
          <w:lang w:val="en-US" w:eastAsia="zh-CN"/>
        </w:rPr>
      </w:pPr>
      <w:r>
        <w:rPr>
          <w:rFonts w:hint="eastAsia"/>
          <w:highlight w:val="none"/>
          <w:lang w:val="en-US" w:eastAsia="zh-CN"/>
        </w:rPr>
        <w:t>接地电阻的测试宜使用接地电阻测试仪或数字接地电阻仪，接地电阻值应符合下列规定：</w:t>
      </w:r>
    </w:p>
    <w:p w14:paraId="0D73B6DC">
      <w:pPr>
        <w:pStyle w:val="133"/>
        <w:rPr>
          <w:rFonts w:hint="eastAsia"/>
          <w:highlight w:val="none"/>
          <w:lang w:val="en-US" w:eastAsia="zh-CN"/>
        </w:rPr>
      </w:pPr>
      <w:r>
        <w:rPr>
          <w:rFonts w:hint="eastAsia"/>
          <w:highlight w:val="none"/>
          <w:lang w:val="en-US" w:eastAsia="zh-CN"/>
        </w:rPr>
        <w:t>工作接地电阻不应大于4Ω；</w:t>
      </w:r>
    </w:p>
    <w:p w14:paraId="5AFFA911">
      <w:pPr>
        <w:pStyle w:val="133"/>
        <w:rPr>
          <w:rFonts w:hint="eastAsia"/>
          <w:highlight w:val="none"/>
          <w:lang w:val="en-US" w:eastAsia="zh-CN"/>
        </w:rPr>
      </w:pPr>
      <w:r>
        <w:rPr>
          <w:rFonts w:hint="eastAsia"/>
          <w:highlight w:val="none"/>
          <w:lang w:val="en-US" w:eastAsia="zh-CN"/>
        </w:rPr>
        <w:t>重复接地电阻不应大于10Ω；</w:t>
      </w:r>
    </w:p>
    <w:p w14:paraId="182D82B1">
      <w:pPr>
        <w:pStyle w:val="133"/>
        <w:rPr>
          <w:rFonts w:hint="default"/>
          <w:highlight w:val="none"/>
          <w:lang w:val="en-US" w:eastAsia="zh-CN"/>
        </w:rPr>
      </w:pPr>
      <w:r>
        <w:rPr>
          <w:rFonts w:hint="eastAsia"/>
          <w:highlight w:val="none"/>
          <w:lang w:val="en-US" w:eastAsia="zh-CN"/>
        </w:rPr>
        <w:t>防雷装置的冲击接地电阻不得大于30Ω；</w:t>
      </w:r>
    </w:p>
    <w:p w14:paraId="101815BF">
      <w:pPr>
        <w:pStyle w:val="106"/>
        <w:spacing w:before="120" w:after="120"/>
      </w:pPr>
      <w:bookmarkStart w:id="79" w:name="_Toc20552"/>
      <w:r>
        <w:rPr>
          <w:rFonts w:hint="eastAsia"/>
        </w:rPr>
        <w:t>高处作业管理</w:t>
      </w:r>
      <w:bookmarkEnd w:id="79"/>
    </w:p>
    <w:p w14:paraId="0706EFD2">
      <w:pPr>
        <w:pStyle w:val="66"/>
        <w:spacing w:before="120" w:after="120"/>
        <w:rPr>
          <w:rFonts w:hint="eastAsia"/>
        </w:rPr>
      </w:pPr>
      <w:r>
        <w:rPr>
          <w:rFonts w:hint="eastAsia"/>
          <w:lang w:val="en-US" w:eastAsia="zh-CN"/>
        </w:rPr>
        <w:t xml:space="preserve">一般规定 </w:t>
      </w:r>
    </w:p>
    <w:p w14:paraId="502FB520">
      <w:pPr>
        <w:pStyle w:val="165"/>
        <w:rPr>
          <w:rFonts w:hint="eastAsia"/>
          <w:lang w:val="en-US" w:eastAsia="zh-CN"/>
        </w:rPr>
      </w:pPr>
      <w:r>
        <w:rPr>
          <w:rFonts w:hint="eastAsia"/>
          <w:lang w:val="en-US" w:eastAsia="zh-CN"/>
        </w:rPr>
        <w:t>高处作业指在坠落高度基准面2m及以上、有坠落可能的高处进行的作业。</w:t>
      </w:r>
    </w:p>
    <w:p w14:paraId="1D69C7DD">
      <w:pPr>
        <w:pStyle w:val="165"/>
        <w:rPr>
          <w:rFonts w:hint="eastAsia"/>
          <w:lang w:val="en-US" w:eastAsia="zh-CN"/>
        </w:rPr>
      </w:pPr>
      <w:r>
        <w:rPr>
          <w:rFonts w:hint="eastAsia"/>
          <w:lang w:val="en-US" w:eastAsia="zh-CN"/>
        </w:rPr>
        <w:t>高处作业应符合国家及北京市有关安全生产法律法规、标准规范的规定。</w:t>
      </w:r>
    </w:p>
    <w:p w14:paraId="5D23D9D5">
      <w:pPr>
        <w:pStyle w:val="165"/>
        <w:rPr>
          <w:rFonts w:hint="eastAsia"/>
          <w:lang w:val="en-US" w:eastAsia="zh-CN"/>
        </w:rPr>
      </w:pPr>
      <w:r>
        <w:rPr>
          <w:rFonts w:hint="eastAsia"/>
          <w:lang w:val="en-US" w:eastAsia="zh-CN"/>
        </w:rPr>
        <w:t>高处作业高度划分为以下四个区段：</w:t>
      </w:r>
    </w:p>
    <w:p w14:paraId="004FAD7B">
      <w:pPr>
        <w:pStyle w:val="133"/>
        <w:rPr>
          <w:rFonts w:hint="eastAsia"/>
          <w:lang w:val="en-US" w:eastAsia="zh-CN"/>
        </w:rPr>
      </w:pPr>
      <w:r>
        <w:rPr>
          <w:rFonts w:hint="eastAsia"/>
          <w:lang w:val="en-US" w:eastAsia="zh-CN"/>
        </w:rPr>
        <w:t>2m～5m（含5m）；</w:t>
      </w:r>
    </w:p>
    <w:p w14:paraId="65415621">
      <w:pPr>
        <w:pStyle w:val="133"/>
        <w:rPr>
          <w:rFonts w:hint="eastAsia"/>
          <w:lang w:val="en-US" w:eastAsia="zh-CN"/>
        </w:rPr>
      </w:pPr>
      <w:r>
        <w:rPr>
          <w:rFonts w:hint="eastAsia"/>
          <w:lang w:val="en-US" w:eastAsia="zh-CN"/>
        </w:rPr>
        <w:t>＞5m～15m（含15m）；</w:t>
      </w:r>
    </w:p>
    <w:p w14:paraId="450204F8">
      <w:pPr>
        <w:pStyle w:val="133"/>
        <w:rPr>
          <w:rFonts w:hint="eastAsia"/>
          <w:lang w:val="en-US" w:eastAsia="zh-CN"/>
        </w:rPr>
      </w:pPr>
      <w:r>
        <w:rPr>
          <w:rFonts w:hint="eastAsia"/>
          <w:lang w:val="en-US" w:eastAsia="zh-CN"/>
        </w:rPr>
        <w:t>＞15m～30m（含30m）；</w:t>
      </w:r>
    </w:p>
    <w:p w14:paraId="0F3924FB">
      <w:pPr>
        <w:pStyle w:val="133"/>
        <w:rPr>
          <w:rFonts w:hint="eastAsia"/>
          <w:lang w:val="en-US" w:eastAsia="zh-CN"/>
        </w:rPr>
      </w:pPr>
      <w:r>
        <w:rPr>
          <w:rFonts w:hint="eastAsia"/>
          <w:lang w:val="en-US" w:eastAsia="zh-CN"/>
        </w:rPr>
        <w:t>＞30m。</w:t>
      </w:r>
    </w:p>
    <w:p w14:paraId="3E5CBD90">
      <w:pPr>
        <w:pStyle w:val="165"/>
        <w:rPr>
          <w:rFonts w:hint="eastAsia"/>
          <w:lang w:val="en-US" w:eastAsia="zh-CN"/>
        </w:rPr>
      </w:pPr>
      <w:r>
        <w:rPr>
          <w:rFonts w:hint="eastAsia"/>
          <w:lang w:val="en-US" w:eastAsia="zh-CN"/>
        </w:rPr>
        <w:t>高处作业的安全防护应符合 JGJ 80 的规定，并应根据本文件划分的作业高度区段，采取相应的防护措施。</w:t>
      </w:r>
    </w:p>
    <w:p w14:paraId="118BA766">
      <w:pPr>
        <w:pStyle w:val="66"/>
        <w:spacing w:before="120" w:after="120"/>
        <w:rPr>
          <w:rFonts w:hint="eastAsia"/>
        </w:rPr>
      </w:pPr>
      <w:r>
        <w:rPr>
          <w:rFonts w:hint="eastAsia"/>
        </w:rPr>
        <w:t>作业防护要求</w:t>
      </w:r>
    </w:p>
    <w:p w14:paraId="30D31B65">
      <w:pPr>
        <w:pStyle w:val="165"/>
        <w:rPr>
          <w:rFonts w:hint="eastAsia"/>
        </w:rPr>
      </w:pPr>
      <w:r>
        <w:rPr>
          <w:rFonts w:hint="eastAsia"/>
          <w:lang w:val="en-US" w:eastAsia="zh-CN"/>
        </w:rPr>
        <w:t>作业前应制定专项安全管控措施。</w:t>
      </w:r>
    </w:p>
    <w:p w14:paraId="2549F943">
      <w:pPr>
        <w:pStyle w:val="165"/>
        <w:rPr>
          <w:rFonts w:hint="eastAsia"/>
        </w:rPr>
      </w:pPr>
      <w:r>
        <w:rPr>
          <w:rFonts w:hint="eastAsia"/>
          <w:lang w:val="en-US" w:eastAsia="zh-CN"/>
        </w:rPr>
        <w:t>作业人员应从规定的通道或设施上下，不应在非规定通道攀登、不应利用吊车臂架等施工设备进行攀登。</w:t>
      </w:r>
    </w:p>
    <w:p w14:paraId="36689C0E">
      <w:pPr>
        <w:pStyle w:val="165"/>
        <w:rPr>
          <w:rFonts w:hint="eastAsia"/>
        </w:rPr>
      </w:pPr>
      <w:r>
        <w:rPr>
          <w:rFonts w:hint="eastAsia"/>
          <w:lang w:val="en-US" w:eastAsia="zh-CN"/>
        </w:rPr>
        <w:t>高处作业时，应使用符合安全要求的材料、器具及设备。</w:t>
      </w:r>
    </w:p>
    <w:p w14:paraId="16D8C01C">
      <w:pPr>
        <w:pStyle w:val="165"/>
        <w:rPr>
          <w:rFonts w:hint="eastAsia"/>
        </w:rPr>
      </w:pPr>
      <w:r>
        <w:rPr>
          <w:rFonts w:hint="eastAsia"/>
          <w:lang w:val="en-US" w:eastAsia="zh-CN"/>
        </w:rPr>
        <w:t>高处作业期间，作业人员应保持注意力集中，不应嬉笑打闹。</w:t>
      </w:r>
    </w:p>
    <w:p w14:paraId="095D6181">
      <w:pPr>
        <w:pStyle w:val="165"/>
        <w:rPr>
          <w:rFonts w:hint="eastAsia"/>
        </w:rPr>
      </w:pPr>
      <w:r>
        <w:rPr>
          <w:rFonts w:hint="eastAsia"/>
          <w:lang w:val="en-US" w:eastAsia="zh-CN"/>
        </w:rPr>
        <w:t>患有高血压、心脏病、恐高症等职业禁忌症，以及处于疲劳、情绪不佳状态的人员，不应进行高处作业。</w:t>
      </w:r>
    </w:p>
    <w:p w14:paraId="7A8C96B6">
      <w:pPr>
        <w:pStyle w:val="165"/>
        <w:rPr>
          <w:rFonts w:hint="eastAsia"/>
        </w:rPr>
      </w:pPr>
      <w:r>
        <w:rPr>
          <w:rFonts w:hint="eastAsia"/>
          <w:lang w:val="en-US" w:eastAsia="zh-CN"/>
        </w:rPr>
        <w:t>作业中感到身体乏力或眩晕，应立即停止作业。</w:t>
      </w:r>
    </w:p>
    <w:p w14:paraId="5F6D6B85">
      <w:pPr>
        <w:pStyle w:val="165"/>
        <w:rPr>
          <w:rFonts w:hint="eastAsia"/>
        </w:rPr>
      </w:pPr>
      <w:r>
        <w:rPr>
          <w:rFonts w:hint="eastAsia"/>
          <w:lang w:val="en-US" w:eastAsia="zh-CN"/>
        </w:rPr>
        <w:t>作业人员应正确穿戴劳动防护用品，并正确使用防坠落用品及登高器具、设备。</w:t>
      </w:r>
    </w:p>
    <w:p w14:paraId="0E7ED976">
      <w:pPr>
        <w:pStyle w:val="165"/>
        <w:rPr>
          <w:rFonts w:hint="eastAsia"/>
        </w:rPr>
      </w:pPr>
      <w:r>
        <w:rPr>
          <w:rFonts w:hint="eastAsia"/>
          <w:lang w:val="en-US" w:eastAsia="zh-CN"/>
        </w:rPr>
        <w:t>安全防护用具使用前应进行检查，确认其性能完好。</w:t>
      </w:r>
    </w:p>
    <w:p w14:paraId="5291CD9D">
      <w:pPr>
        <w:pStyle w:val="165"/>
        <w:rPr>
          <w:rFonts w:hint="eastAsia"/>
        </w:rPr>
      </w:pPr>
      <w:r>
        <w:rPr>
          <w:rFonts w:hint="eastAsia"/>
          <w:lang w:val="en-US" w:eastAsia="zh-CN"/>
        </w:rPr>
        <w:t>在距坠落基准面2 m及以上高处作业，应佩戴安全带。在安全防护设施完善的区域及身体重心高于护栏的作业位置，应全程系挂安全带。</w:t>
      </w:r>
    </w:p>
    <w:p w14:paraId="1FBB77C7">
      <w:pPr>
        <w:pStyle w:val="165"/>
        <w:rPr>
          <w:rFonts w:hint="eastAsia"/>
        </w:rPr>
      </w:pPr>
      <w:r>
        <w:rPr>
          <w:rFonts w:hint="eastAsia"/>
          <w:lang w:val="en-US" w:eastAsia="zh-CN"/>
        </w:rPr>
        <w:t>高处作业时，不应倚靠临时护栏或未经确认稳固的构筑物。</w:t>
      </w:r>
    </w:p>
    <w:p w14:paraId="50AA2561">
      <w:pPr>
        <w:pStyle w:val="165"/>
        <w:rPr>
          <w:rFonts w:hint="eastAsia"/>
        </w:rPr>
      </w:pPr>
      <w:r>
        <w:rPr>
          <w:rFonts w:hint="eastAsia"/>
          <w:lang w:val="en-US" w:eastAsia="zh-CN"/>
        </w:rPr>
        <w:t>遇有五级以上强风、浓雾等恶劣气候时，不应进行露天攀登与悬空高处作业。</w:t>
      </w:r>
    </w:p>
    <w:p w14:paraId="2B663963">
      <w:pPr>
        <w:pStyle w:val="165"/>
        <w:rPr>
          <w:rFonts w:hint="eastAsia"/>
        </w:rPr>
      </w:pPr>
      <w:r>
        <w:rPr>
          <w:rFonts w:hint="eastAsia"/>
          <w:lang w:val="en-US" w:eastAsia="zh-CN"/>
        </w:rPr>
        <w:t>雨天、雪天进行高处作业时，应采取可靠的防滑、防寒和防冻措施。</w:t>
      </w:r>
    </w:p>
    <w:p w14:paraId="2EE19585">
      <w:pPr>
        <w:pStyle w:val="165"/>
        <w:rPr>
          <w:rFonts w:hint="eastAsia"/>
        </w:rPr>
      </w:pPr>
      <w:r>
        <w:rPr>
          <w:rFonts w:hint="eastAsia"/>
          <w:lang w:val="en-US" w:eastAsia="zh-CN"/>
        </w:rPr>
        <w:t>大风、暴雨、暴雪等极端天气后，应对高处作业安全设施进行全面检查，发现松动、变形、损坏或脱落等现象，应立即修复或更换。</w:t>
      </w:r>
    </w:p>
    <w:p w14:paraId="693FCDE7">
      <w:pPr>
        <w:pStyle w:val="165"/>
        <w:rPr>
          <w:rFonts w:hint="eastAsia"/>
        </w:rPr>
      </w:pPr>
      <w:r>
        <w:rPr>
          <w:rFonts w:hint="eastAsia"/>
          <w:lang w:val="en-US" w:eastAsia="zh-CN"/>
        </w:rPr>
        <w:t>高处作业安全防护设施，不应擅自拆除或挪动。</w:t>
      </w:r>
    </w:p>
    <w:p w14:paraId="625CEFD2">
      <w:pPr>
        <w:pStyle w:val="165"/>
        <w:rPr>
          <w:rFonts w:hint="eastAsia"/>
        </w:rPr>
      </w:pPr>
      <w:r>
        <w:rPr>
          <w:rFonts w:hint="eastAsia"/>
          <w:lang w:val="en-US" w:eastAsia="zh-CN"/>
        </w:rPr>
        <w:t>施工中发现高处作业安全技术设施存在缺陷或隐患，应及时报告和处理；危及人身安全时，应立即停止作业。</w:t>
      </w:r>
    </w:p>
    <w:p w14:paraId="6F406592">
      <w:pPr>
        <w:pStyle w:val="165"/>
        <w:rPr>
          <w:rFonts w:hint="eastAsia"/>
        </w:rPr>
      </w:pPr>
      <w:r>
        <w:rPr>
          <w:rFonts w:hint="eastAsia"/>
          <w:lang w:val="en-US" w:eastAsia="zh-CN"/>
        </w:rPr>
        <w:t>上下高处时，手中不应持物。工具、材料、零件等应装入工具袋内传递或使用机械吊运。</w:t>
      </w:r>
    </w:p>
    <w:p w14:paraId="5C7D3F43">
      <w:pPr>
        <w:pStyle w:val="165"/>
        <w:rPr>
          <w:rFonts w:hint="eastAsia"/>
        </w:rPr>
      </w:pPr>
      <w:r>
        <w:rPr>
          <w:rFonts w:hint="eastAsia"/>
          <w:lang w:val="en-US" w:eastAsia="zh-CN"/>
        </w:rPr>
        <w:t>不应投掷工具、材料及其他物品。</w:t>
      </w:r>
    </w:p>
    <w:p w14:paraId="02439452">
      <w:pPr>
        <w:pStyle w:val="165"/>
        <w:rPr>
          <w:rFonts w:hint="eastAsia"/>
        </w:rPr>
      </w:pPr>
      <w:r>
        <w:rPr>
          <w:rFonts w:hint="eastAsia"/>
          <w:lang w:val="en-US" w:eastAsia="zh-CN"/>
        </w:rPr>
        <w:t>易滑动、滚动的工具、材料，应采取措施防止其坠落。</w:t>
      </w:r>
    </w:p>
    <w:p w14:paraId="32F31A16">
      <w:pPr>
        <w:pStyle w:val="165"/>
        <w:rPr>
          <w:rFonts w:hint="eastAsia"/>
        </w:rPr>
      </w:pPr>
      <w:r>
        <w:rPr>
          <w:rFonts w:hint="eastAsia"/>
          <w:lang w:val="en-US" w:eastAsia="zh-CN"/>
        </w:rPr>
        <w:t>热力管网等立体交叉作业场所进行高处作业时，不应上下层同时进行拆除作业。</w:t>
      </w:r>
    </w:p>
    <w:p w14:paraId="17AC0743">
      <w:pPr>
        <w:pStyle w:val="66"/>
        <w:spacing w:before="120" w:after="120"/>
        <w:rPr>
          <w:rFonts w:hint="eastAsia"/>
        </w:rPr>
      </w:pPr>
      <w:r>
        <w:rPr>
          <w:rFonts w:hint="eastAsia"/>
        </w:rPr>
        <w:t>高处作业过程管理</w:t>
      </w:r>
    </w:p>
    <w:p w14:paraId="2A1C9674">
      <w:pPr>
        <w:pStyle w:val="165"/>
        <w:rPr>
          <w:rFonts w:hint="eastAsia"/>
          <w:lang w:val="en-US" w:eastAsia="zh-CN"/>
        </w:rPr>
      </w:pPr>
      <w:r>
        <w:rPr>
          <w:rFonts w:hint="eastAsia"/>
          <w:lang w:val="en-US" w:eastAsia="zh-CN"/>
        </w:rPr>
        <w:t>作业前，应完成以下准备工作：</w:t>
      </w:r>
    </w:p>
    <w:p w14:paraId="777899AA">
      <w:pPr>
        <w:pStyle w:val="133"/>
        <w:rPr>
          <w:rFonts w:hint="eastAsia"/>
          <w:lang w:val="en-US" w:eastAsia="zh-CN"/>
        </w:rPr>
      </w:pPr>
      <w:r>
        <w:rPr>
          <w:rFonts w:hint="eastAsia"/>
          <w:lang w:val="en-US" w:eastAsia="zh-CN"/>
        </w:rPr>
        <w:t>作业人员应经安全培训合格、体检合格，并接受作业前的安全技术交底；</w:t>
      </w:r>
    </w:p>
    <w:p w14:paraId="1A01E1A6">
      <w:pPr>
        <w:pStyle w:val="133"/>
        <w:rPr>
          <w:rFonts w:hint="eastAsia"/>
          <w:lang w:val="en-US" w:eastAsia="zh-CN"/>
        </w:rPr>
      </w:pPr>
      <w:r>
        <w:rPr>
          <w:rFonts w:hint="eastAsia"/>
          <w:lang w:val="en-US" w:eastAsia="zh-CN"/>
        </w:rPr>
        <w:t>安全带、安全帽、防滑鞋等个体防护装备应确保性能完好，并规范穿戴；</w:t>
      </w:r>
    </w:p>
    <w:p w14:paraId="311F5BE6">
      <w:pPr>
        <w:pStyle w:val="133"/>
        <w:rPr>
          <w:rFonts w:hint="eastAsia"/>
          <w:lang w:val="en-US" w:eastAsia="zh-CN"/>
        </w:rPr>
      </w:pPr>
      <w:r>
        <w:rPr>
          <w:rFonts w:hint="eastAsia"/>
          <w:lang w:val="en-US" w:eastAsia="zh-CN"/>
        </w:rPr>
        <w:t>作业平台、通道及周边的安全防护栏、安全网等设施应齐全、安装牢固。</w:t>
      </w:r>
    </w:p>
    <w:p w14:paraId="4340F20D">
      <w:pPr>
        <w:pStyle w:val="165"/>
        <w:rPr>
          <w:rFonts w:hint="eastAsia"/>
          <w:lang w:val="en-US" w:eastAsia="zh-CN"/>
        </w:rPr>
      </w:pPr>
      <w:r>
        <w:rPr>
          <w:rFonts w:hint="eastAsia"/>
          <w:lang w:val="en-US" w:eastAsia="zh-CN"/>
        </w:rPr>
        <w:t>作业过程中，应遵守以下管理规定：</w:t>
      </w:r>
    </w:p>
    <w:p w14:paraId="6358EE4A">
      <w:pPr>
        <w:pStyle w:val="133"/>
        <w:rPr>
          <w:rFonts w:hint="eastAsia"/>
          <w:lang w:val="en-US" w:eastAsia="zh-CN"/>
        </w:rPr>
      </w:pPr>
      <w:r>
        <w:rPr>
          <w:rFonts w:hint="eastAsia"/>
          <w:lang w:val="en-US" w:eastAsia="zh-CN"/>
        </w:rPr>
        <w:t>安全帽应规范佩戴，安全带应系挂牢固并遵循“高挂低用”原则，不应将安全带系挂在移动、不稳固或带有尖锐棱角的物体上；</w:t>
      </w:r>
    </w:p>
    <w:p w14:paraId="71D2F73C">
      <w:pPr>
        <w:pStyle w:val="133"/>
        <w:rPr>
          <w:rFonts w:hint="eastAsia"/>
          <w:lang w:val="en-US" w:eastAsia="zh-CN"/>
        </w:rPr>
      </w:pPr>
      <w:r>
        <w:rPr>
          <w:rFonts w:hint="eastAsia"/>
          <w:lang w:val="en-US" w:eastAsia="zh-CN"/>
        </w:rPr>
        <w:t>应规范作业行为，工具、材料应使用工具袋或采用绳索进行传递，不应抛掷；应保持作业面整洁，及时清理零散物品；不应在未设置可靠防护的护栏、脚手架等构件上休息、嬉闹或行走；</w:t>
      </w:r>
    </w:p>
    <w:p w14:paraId="20B79B07">
      <w:pPr>
        <w:pStyle w:val="133"/>
        <w:rPr>
          <w:rFonts w:hint="eastAsia"/>
          <w:lang w:val="en-US" w:eastAsia="zh-CN"/>
        </w:rPr>
      </w:pPr>
      <w:r>
        <w:rPr>
          <w:rFonts w:hint="eastAsia"/>
          <w:lang w:val="en-US" w:eastAsia="zh-CN"/>
        </w:rPr>
        <w:t>应设置专职安全监护人员。监护人员应全程监督作业人员的操作规范，及时制止违章指挥、违规作业和违反劳动纪律的行为，并应密切关注作业环境变化，阻止无关人员进入作业警戒区域。</w:t>
      </w:r>
    </w:p>
    <w:p w14:paraId="1C1B25E1">
      <w:pPr>
        <w:pStyle w:val="165"/>
        <w:rPr>
          <w:rFonts w:hint="eastAsia"/>
          <w:lang w:val="en-US" w:eastAsia="zh-CN"/>
        </w:rPr>
      </w:pPr>
      <w:r>
        <w:rPr>
          <w:rFonts w:hint="eastAsia"/>
          <w:lang w:val="en-US" w:eastAsia="zh-CN"/>
        </w:rPr>
        <w:t>作业结束后，应进行以下收尾工作：</w:t>
      </w:r>
    </w:p>
    <w:p w14:paraId="6DC26CB1">
      <w:pPr>
        <w:pStyle w:val="133"/>
        <w:rPr>
          <w:rFonts w:hint="eastAsia"/>
          <w:lang w:val="en-US" w:eastAsia="zh-CN"/>
        </w:rPr>
      </w:pPr>
      <w:r>
        <w:rPr>
          <w:rFonts w:hint="eastAsia"/>
          <w:lang w:val="en-US" w:eastAsia="zh-CN"/>
        </w:rPr>
        <w:t>清理所有工具、材料和废弃物，恢复作业现场环境；</w:t>
      </w:r>
    </w:p>
    <w:p w14:paraId="5BD2618D">
      <w:pPr>
        <w:pStyle w:val="133"/>
        <w:rPr>
          <w:rFonts w:hint="eastAsia"/>
        </w:rPr>
      </w:pPr>
      <w:r>
        <w:rPr>
          <w:rFonts w:hint="eastAsia"/>
          <w:lang w:val="en-US" w:eastAsia="zh-CN"/>
        </w:rPr>
        <w:t>作业中临时移动或拆除的安全防护措施，应恢复至原有安全状态。</w:t>
      </w:r>
    </w:p>
    <w:p w14:paraId="0551F3D2">
      <w:pPr>
        <w:pStyle w:val="106"/>
        <w:spacing w:before="120" w:after="120"/>
      </w:pPr>
      <w:bookmarkStart w:id="80" w:name="_Toc9986"/>
      <w:r>
        <w:rPr>
          <w:rFonts w:hint="eastAsia"/>
        </w:rPr>
        <w:t>泄、抽、排热水管理</w:t>
      </w:r>
      <w:bookmarkEnd w:id="80"/>
    </w:p>
    <w:p w14:paraId="34036115">
      <w:pPr>
        <w:pStyle w:val="66"/>
        <w:spacing w:before="120" w:after="120"/>
        <w:rPr>
          <w:rFonts w:hint="eastAsia"/>
        </w:rPr>
      </w:pPr>
      <w:r>
        <w:rPr>
          <w:rFonts w:hint="eastAsia"/>
          <w:lang w:val="en-US" w:eastAsia="zh-CN"/>
        </w:rPr>
        <w:t>一般规定</w:t>
      </w:r>
    </w:p>
    <w:p w14:paraId="5FD7A33E">
      <w:pPr>
        <w:pStyle w:val="165"/>
        <w:rPr>
          <w:rFonts w:hint="eastAsia"/>
          <w:lang w:val="en-US" w:eastAsia="zh-CN"/>
        </w:rPr>
      </w:pPr>
      <w:r>
        <w:rPr>
          <w:rFonts w:hint="eastAsia"/>
          <w:lang w:val="en-US" w:eastAsia="zh-CN"/>
        </w:rPr>
        <w:t>涉及热力管网的泄水、抽排水等所有作业，作业前应办理审批手续。</w:t>
      </w:r>
    </w:p>
    <w:p w14:paraId="44F6297F">
      <w:pPr>
        <w:pStyle w:val="165"/>
        <w:rPr>
          <w:rFonts w:hint="eastAsia"/>
          <w:color w:val="auto"/>
          <w:highlight w:val="none"/>
          <w:lang w:val="en-US" w:eastAsia="zh-CN"/>
        </w:rPr>
      </w:pPr>
      <w:r>
        <w:rPr>
          <w:rFonts w:hint="eastAsia"/>
          <w:color w:val="auto"/>
          <w:highlight w:val="none"/>
          <w:lang w:val="en-US" w:eastAsia="zh-CN"/>
        </w:rPr>
        <w:t>应针对作业内容制定专项安全方案，方案中应明确作业内容、时间、人员、主要风险点及相应的控制措施。</w:t>
      </w:r>
    </w:p>
    <w:p w14:paraId="15D29A09">
      <w:pPr>
        <w:pStyle w:val="165"/>
        <w:rPr>
          <w:rFonts w:hint="eastAsia"/>
          <w:color w:val="auto"/>
          <w:highlight w:val="none"/>
          <w:lang w:val="en-US" w:eastAsia="zh-CN"/>
        </w:rPr>
      </w:pPr>
      <w:r>
        <w:rPr>
          <w:rFonts w:hint="eastAsia"/>
          <w:color w:val="auto"/>
          <w:highlight w:val="none"/>
          <w:lang w:val="en-US" w:eastAsia="zh-CN"/>
        </w:rPr>
        <w:t>作业前应开展危险源辨识，并组织所有作业人员进行现场交底，交底内容应重点突出高温烫伤、蒸汽灼伤、滑倒及坠落等风险的防范措施。</w:t>
      </w:r>
    </w:p>
    <w:p w14:paraId="4C043DD8">
      <w:pPr>
        <w:pStyle w:val="165"/>
        <w:rPr>
          <w:rFonts w:hint="eastAsia"/>
          <w:color w:val="auto"/>
          <w:highlight w:val="none"/>
          <w:lang w:val="en-US" w:eastAsia="zh-CN"/>
        </w:rPr>
      </w:pPr>
      <w:r>
        <w:rPr>
          <w:rFonts w:hint="eastAsia"/>
          <w:color w:val="auto"/>
          <w:highlight w:val="none"/>
          <w:lang w:val="en-US" w:eastAsia="zh-CN"/>
        </w:rPr>
        <w:t>作业人员应经过热力管网作业专业安全培训，掌握高温热水作业安全知识及应急处置技能。</w:t>
      </w:r>
    </w:p>
    <w:p w14:paraId="6489437F">
      <w:pPr>
        <w:pStyle w:val="165"/>
        <w:rPr>
          <w:rFonts w:hint="eastAsia"/>
          <w:color w:val="auto"/>
          <w:highlight w:val="none"/>
          <w:lang w:val="en-US" w:eastAsia="zh-CN"/>
        </w:rPr>
      </w:pPr>
      <w:r>
        <w:rPr>
          <w:rFonts w:hint="eastAsia"/>
          <w:color w:val="auto"/>
          <w:highlight w:val="none"/>
          <w:lang w:val="en-US" w:eastAsia="zh-CN"/>
        </w:rPr>
        <w:t>作业时作业人员应正确穿戴防烫服、防烫靴、防护手套及防护面罩等个体防护装备。</w:t>
      </w:r>
    </w:p>
    <w:p w14:paraId="779C175D">
      <w:pPr>
        <w:pStyle w:val="165"/>
        <w:rPr>
          <w:rFonts w:hint="eastAsia"/>
          <w:color w:val="auto"/>
          <w:highlight w:val="none"/>
          <w:lang w:val="en-US" w:eastAsia="zh-CN"/>
        </w:rPr>
      </w:pPr>
      <w:r>
        <w:rPr>
          <w:rFonts w:hint="eastAsia"/>
          <w:color w:val="auto"/>
          <w:highlight w:val="none"/>
          <w:lang w:val="en-US" w:eastAsia="zh-CN"/>
        </w:rPr>
        <w:t>进入受限空间作业时，应携带便携式气体检测仪、防爆对讲机及防爆照明设备。</w:t>
      </w:r>
    </w:p>
    <w:p w14:paraId="75C3C6DC">
      <w:pPr>
        <w:pStyle w:val="165"/>
        <w:rPr>
          <w:rFonts w:hint="eastAsia"/>
          <w:color w:val="auto"/>
          <w:highlight w:val="none"/>
          <w:lang w:val="en-US" w:eastAsia="zh-CN"/>
        </w:rPr>
      </w:pPr>
      <w:r>
        <w:rPr>
          <w:rFonts w:hint="eastAsia"/>
          <w:color w:val="auto"/>
          <w:highlight w:val="none"/>
          <w:lang w:val="en-US" w:eastAsia="zh-CN"/>
        </w:rPr>
        <w:t>作业区域周边应设置醒目的安全警示标志与可靠的隔离护栏，非作业人员不应进入。</w:t>
      </w:r>
    </w:p>
    <w:p w14:paraId="7D226E83">
      <w:pPr>
        <w:pStyle w:val="165"/>
        <w:rPr>
          <w:rFonts w:hint="eastAsia"/>
          <w:color w:val="auto"/>
          <w:highlight w:val="none"/>
          <w:lang w:val="en-US" w:eastAsia="zh-CN"/>
        </w:rPr>
      </w:pPr>
      <w:r>
        <w:rPr>
          <w:rFonts w:hint="eastAsia"/>
          <w:color w:val="auto"/>
          <w:highlight w:val="none"/>
          <w:lang w:val="en-US" w:eastAsia="zh-CN"/>
        </w:rPr>
        <w:t>作业现场应保持良好通风和充足照明。对于检查室、管沟等密闭或通风不良的作业场所，应严格执行“先通风、再检测、后作业”的程序。</w:t>
      </w:r>
    </w:p>
    <w:p w14:paraId="3D9FFB2F">
      <w:pPr>
        <w:pStyle w:val="66"/>
        <w:spacing w:before="120" w:after="120"/>
        <w:rPr>
          <w:rFonts w:hint="eastAsia"/>
        </w:rPr>
      </w:pPr>
      <w:r>
        <w:rPr>
          <w:rFonts w:hint="eastAsia"/>
        </w:rPr>
        <w:t>现场安全管理要求</w:t>
      </w:r>
    </w:p>
    <w:p w14:paraId="60C3EA75">
      <w:pPr>
        <w:pStyle w:val="165"/>
        <w:rPr>
          <w:rFonts w:hint="eastAsia"/>
          <w:lang w:val="en-US" w:eastAsia="zh-CN"/>
        </w:rPr>
      </w:pPr>
      <w:r>
        <w:rPr>
          <w:rFonts w:hint="eastAsia"/>
          <w:lang w:val="en-US" w:eastAsia="zh-CN"/>
        </w:rPr>
        <w:t>泄水作业应符合下列规定：</w:t>
      </w:r>
    </w:p>
    <w:p w14:paraId="46D3A523">
      <w:pPr>
        <w:pStyle w:val="133"/>
        <w:rPr>
          <w:rFonts w:hint="eastAsia"/>
          <w:lang w:val="en-US" w:eastAsia="zh-CN"/>
        </w:rPr>
      </w:pPr>
      <w:r>
        <w:rPr>
          <w:rFonts w:hint="eastAsia"/>
          <w:lang w:val="en-US" w:eastAsia="zh-CN"/>
        </w:rPr>
        <w:t>应遵循“先降压、后泄水”的原则，应在管道降压完成后进行泄水作业；</w:t>
      </w:r>
    </w:p>
    <w:p w14:paraId="5AED9BEE">
      <w:pPr>
        <w:pStyle w:val="133"/>
        <w:rPr>
          <w:rFonts w:hint="eastAsia"/>
          <w:lang w:val="en-US" w:eastAsia="zh-CN"/>
        </w:rPr>
      </w:pPr>
      <w:r>
        <w:rPr>
          <w:rFonts w:hint="eastAsia"/>
          <w:lang w:val="en-US" w:eastAsia="zh-CN"/>
        </w:rPr>
        <w:t>开启泄水阀后，作业人员应立即撤离检查室或作业井口，防范热水或蒸汽突然涌出造成伤害。</w:t>
      </w:r>
    </w:p>
    <w:p w14:paraId="0589F277">
      <w:pPr>
        <w:pStyle w:val="165"/>
        <w:rPr>
          <w:rFonts w:hint="eastAsia"/>
          <w:lang w:val="en-US" w:eastAsia="zh-CN"/>
        </w:rPr>
      </w:pPr>
      <w:r>
        <w:rPr>
          <w:rFonts w:hint="eastAsia"/>
          <w:lang w:val="en-US" w:eastAsia="zh-CN"/>
        </w:rPr>
        <w:t>抽排热水作业应符合下列规定：</w:t>
      </w:r>
    </w:p>
    <w:p w14:paraId="69B5D59C">
      <w:pPr>
        <w:pStyle w:val="133"/>
        <w:rPr>
          <w:rFonts w:hint="eastAsia"/>
          <w:lang w:val="en-US" w:eastAsia="zh-CN"/>
        </w:rPr>
      </w:pPr>
      <w:r>
        <w:rPr>
          <w:rFonts w:hint="eastAsia"/>
          <w:lang w:val="en-US" w:eastAsia="zh-CN"/>
        </w:rPr>
        <w:t>应采用耐高温、耐腐蚀的专用热水泵，电气设备应可靠接地，并采取防漏电措施；</w:t>
      </w:r>
    </w:p>
    <w:p w14:paraId="17CC890A">
      <w:pPr>
        <w:pStyle w:val="133"/>
        <w:rPr>
          <w:rFonts w:hint="eastAsia"/>
          <w:lang w:val="en-US" w:eastAsia="zh-CN"/>
        </w:rPr>
      </w:pPr>
      <w:r>
        <w:rPr>
          <w:rFonts w:hint="eastAsia"/>
          <w:lang w:val="en-US" w:eastAsia="zh-CN"/>
        </w:rPr>
        <w:t>抽水管道连接应牢固可靠，并采取防脱落和防爆裂措施；</w:t>
      </w:r>
    </w:p>
    <w:p w14:paraId="00B34038">
      <w:pPr>
        <w:pStyle w:val="133"/>
        <w:rPr>
          <w:rFonts w:hint="eastAsia"/>
          <w:lang w:val="en-US" w:eastAsia="zh-CN"/>
        </w:rPr>
      </w:pPr>
      <w:r>
        <w:rPr>
          <w:rFonts w:hint="eastAsia"/>
          <w:lang w:val="en-US" w:eastAsia="zh-CN"/>
        </w:rPr>
        <w:t>作业人员应远离抽水口，避免热水喷溅造成烫伤；</w:t>
      </w:r>
    </w:p>
    <w:p w14:paraId="4677E5CD">
      <w:pPr>
        <w:pStyle w:val="133"/>
        <w:rPr>
          <w:rFonts w:hint="eastAsia"/>
          <w:lang w:val="en-US" w:eastAsia="zh-CN"/>
        </w:rPr>
      </w:pPr>
      <w:r>
        <w:rPr>
          <w:rFonts w:hint="eastAsia"/>
          <w:lang w:val="en-US" w:eastAsia="zh-CN"/>
        </w:rPr>
        <w:t>抽排水过程中应安排专人全程监护，实时监测水位、水温及设备运行状态；</w:t>
      </w:r>
    </w:p>
    <w:p w14:paraId="2FC9377F">
      <w:pPr>
        <w:pStyle w:val="133"/>
        <w:rPr>
          <w:rFonts w:hint="eastAsia"/>
        </w:rPr>
      </w:pPr>
      <w:r>
        <w:rPr>
          <w:rFonts w:hint="eastAsia"/>
          <w:lang w:val="en-US" w:eastAsia="zh-CN"/>
        </w:rPr>
        <w:t>抽排出的热水应集中收集并进行妥善处理，不应直接排入市政雨水管网、污水系统或绿化带，防止热污染和人员意外接触。</w:t>
      </w:r>
    </w:p>
    <w:p w14:paraId="132CA272">
      <w:pPr>
        <w:pStyle w:val="105"/>
        <w:spacing w:before="240" w:after="240"/>
        <w:rPr>
          <w:rFonts w:hint="eastAsia"/>
          <w:highlight w:val="none"/>
          <w:lang w:val="en-US" w:eastAsia="zh-CN"/>
        </w:rPr>
      </w:pPr>
      <w:bookmarkStart w:id="81" w:name="_Toc23650"/>
      <w:r>
        <w:rPr>
          <w:rFonts w:hint="eastAsia"/>
          <w:highlight w:val="none"/>
          <w:lang w:val="en-US" w:eastAsia="zh-CN"/>
        </w:rPr>
        <w:t>现场视频监控管理</w:t>
      </w:r>
      <w:bookmarkEnd w:id="81"/>
    </w:p>
    <w:p w14:paraId="597305D3">
      <w:pPr>
        <w:pStyle w:val="106"/>
        <w:spacing w:before="120" w:after="120"/>
        <w:rPr>
          <w:rFonts w:hint="eastAsia"/>
          <w:highlight w:val="none"/>
          <w:lang w:val="en-US" w:eastAsia="zh-CN"/>
        </w:rPr>
      </w:pPr>
      <w:bookmarkStart w:id="82" w:name="_Toc21000"/>
      <w:r>
        <w:rPr>
          <w:rFonts w:hint="eastAsia"/>
          <w:highlight w:val="none"/>
          <w:lang w:val="en-US" w:eastAsia="zh-CN"/>
        </w:rPr>
        <w:t>基本要求</w:t>
      </w:r>
      <w:bookmarkEnd w:id="82"/>
    </w:p>
    <w:p w14:paraId="6FF00D03">
      <w:pPr>
        <w:pStyle w:val="16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视频监控设备记录范围应实现施工现场全覆盖，可记录降尘、降噪、人员出入等信息，具备巡视功能。对于交通复杂地段宜增加视频安装点位，避免记录盲区；视频监控记录限于施工全过程管理用途，设置时不应侵犯周边居民隐私。</w:t>
      </w:r>
    </w:p>
    <w:p w14:paraId="480FE7BD">
      <w:pPr>
        <w:pStyle w:val="16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各项目安装宜使用智慧管理信息系统，对施工现场人员、机械设备、物料、环境与能耗、质量安全、进度、塔吊监测、基坑监测等进行全面实时监测。</w:t>
      </w:r>
    </w:p>
    <w:p w14:paraId="3D36F4EF">
      <w:pPr>
        <w:pStyle w:val="166"/>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危险作业过程中应采用视频监控系统或智能移动终端等对作业情况进行全过程视频录制，体现出作业前、作业中和作业后3个阶段的视频资料。</w:t>
      </w:r>
    </w:p>
    <w:p w14:paraId="7BAAD750">
      <w:pPr>
        <w:pStyle w:val="106"/>
        <w:spacing w:before="120" w:after="120"/>
        <w:rPr>
          <w:rFonts w:hint="eastAsia"/>
          <w:highlight w:val="none"/>
          <w:lang w:val="en-US" w:eastAsia="zh-CN"/>
        </w:rPr>
      </w:pPr>
      <w:bookmarkStart w:id="83" w:name="_Toc10354"/>
      <w:r>
        <w:rPr>
          <w:rFonts w:hint="eastAsia"/>
          <w:highlight w:val="none"/>
          <w:lang w:val="en-US" w:eastAsia="zh-CN"/>
        </w:rPr>
        <w:t>视频记录重点</w:t>
      </w:r>
      <w:bookmarkEnd w:id="83"/>
    </w:p>
    <w:p w14:paraId="7F586CD2">
      <w:pPr>
        <w:pStyle w:val="166"/>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动火作业视频记录重点包括：执行动火作业分级审批和旁站看护制度情况。气压焊、电阻焊等特种作业人员要持证上岗并落实</w:t>
      </w:r>
      <w:r>
        <w:rPr>
          <w:rFonts w:hint="eastAsia"/>
          <w:color w:val="000000" w:themeColor="text1"/>
          <w:highlight w:val="none"/>
          <w:lang w:val="en-US" w:eastAsia="zh-CN"/>
          <w14:textFill>
            <w14:solidFill>
              <w14:schemeClr w14:val="tx1"/>
            </w14:solidFill>
          </w14:textFill>
        </w:rPr>
        <w:t>监护人员</w:t>
      </w:r>
      <w:r>
        <w:rPr>
          <w:rFonts w:hint="eastAsia"/>
          <w:color w:val="000000" w:themeColor="text1"/>
          <w:highlight w:val="none"/>
          <w:lang w:eastAsia="zh-CN"/>
          <w14:textFill>
            <w14:solidFill>
              <w14:schemeClr w14:val="tx1"/>
            </w14:solidFill>
          </w14:textFill>
        </w:rPr>
        <w:t>制度情况。动火作业前清理现场可燃物，动火作业后检查确认无火灾隐患情况。</w:t>
      </w:r>
    </w:p>
    <w:p w14:paraId="7D6349BF">
      <w:pPr>
        <w:pStyle w:val="166"/>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有限空间作业视频记录重点包括：有限空间监护作业特种作业人员持证上岗情况。执行</w:t>
      </w:r>
      <w:r>
        <w:rPr>
          <w:rFonts w:hint="eastAsia"/>
          <w:highlight w:val="none"/>
          <w:lang w:val="en-US" w:eastAsia="zh-CN"/>
        </w:rPr>
        <w:t>“先通风、再检测、后作业”</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配备防护设备情况，包括气体检测、通风、照明、通讯等安全防护设备，呼吸防护用品、安全警戒设施及应急救援设备，泵吸式气体检测报警仪、扩散式气体检测报警仪、强制送风设备、正压式隔绝式呼吸器、全身式安全带、速差式自控器、安全绳、三脚架等。有限空间作业前和作业过程中采取强制性持续通风措施情况。</w:t>
      </w:r>
    </w:p>
    <w:p w14:paraId="55CC99E3">
      <w:pPr>
        <w:pStyle w:val="166"/>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高处</w:t>
      </w:r>
      <w:r>
        <w:rPr>
          <w:rFonts w:hint="eastAsia"/>
          <w:color w:val="000000" w:themeColor="text1"/>
          <w:highlight w:val="none"/>
          <w:lang w:eastAsia="zh-CN"/>
          <w14:textFill>
            <w14:solidFill>
              <w14:schemeClr w14:val="tx1"/>
            </w14:solidFill>
          </w14:textFill>
        </w:rPr>
        <w:t>作业视频记录重点包括：</w:t>
      </w:r>
      <w:r>
        <w:rPr>
          <w:rFonts w:hint="eastAsia"/>
          <w:color w:val="000000" w:themeColor="text1"/>
          <w:highlight w:val="none"/>
          <w:lang w:val="en-US" w:eastAsia="zh-CN"/>
          <w14:textFill>
            <w14:solidFill>
              <w14:schemeClr w14:val="tx1"/>
            </w14:solidFill>
          </w14:textFill>
        </w:rPr>
        <w:t>可能坠落范围内作业情况。坠落防护安全带使用情况</w:t>
      </w:r>
      <w:r>
        <w:rPr>
          <w:rFonts w:hint="eastAsia"/>
          <w:color w:val="000000" w:themeColor="text1"/>
          <w:highlight w:val="none"/>
          <w:lang w:eastAsia="zh-CN"/>
          <w14:textFill>
            <w14:solidFill>
              <w14:schemeClr w14:val="tx1"/>
            </w14:solidFill>
          </w14:textFill>
        </w:rPr>
        <w:t>。天气情况。</w:t>
      </w:r>
      <w:r>
        <w:rPr>
          <w:rFonts w:hint="eastAsia"/>
          <w:color w:val="000000" w:themeColor="text1"/>
          <w:highlight w:val="none"/>
          <w:lang w:val="en-US" w:eastAsia="zh-CN"/>
          <w14:textFill>
            <w14:solidFill>
              <w14:schemeClr w14:val="tx1"/>
            </w14:solidFill>
          </w14:textFill>
        </w:rPr>
        <w:t>高处</w:t>
      </w:r>
      <w:r>
        <w:rPr>
          <w:rFonts w:hint="eastAsia"/>
          <w:color w:val="000000" w:themeColor="text1"/>
          <w:highlight w:val="none"/>
          <w:lang w:eastAsia="zh-CN"/>
          <w14:textFill>
            <w14:solidFill>
              <w14:schemeClr w14:val="tx1"/>
            </w14:solidFill>
          </w14:textFill>
        </w:rPr>
        <w:t>作业人员持证上岗情况。</w:t>
      </w:r>
    </w:p>
    <w:p w14:paraId="0CF39412">
      <w:pPr>
        <w:pStyle w:val="166"/>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动土作业视频记录重点包括：动土作业审批和作业条件验收情况。执行设计和施工方案情况。作业结束后，机械设备停到安全地带情况。</w:t>
      </w:r>
    </w:p>
    <w:p w14:paraId="6358C46B">
      <w:pPr>
        <w:pStyle w:val="106"/>
        <w:spacing w:before="120" w:after="120"/>
        <w:rPr>
          <w:rFonts w:hint="eastAsia"/>
          <w:highlight w:val="none"/>
          <w:lang w:val="en-US" w:eastAsia="zh-CN"/>
        </w:rPr>
      </w:pPr>
      <w:bookmarkStart w:id="84" w:name="_Toc21775"/>
      <w:r>
        <w:rPr>
          <w:rFonts w:hint="eastAsia"/>
          <w:highlight w:val="none"/>
          <w:lang w:val="en-US" w:eastAsia="zh-CN"/>
        </w:rPr>
        <w:t>视频记录要求</w:t>
      </w:r>
      <w:bookmarkEnd w:id="84"/>
    </w:p>
    <w:p w14:paraId="43C65F09">
      <w:pPr>
        <w:pStyle w:val="166"/>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摄像头</w:t>
      </w:r>
      <w:r>
        <w:rPr>
          <w:rFonts w:hint="eastAsia"/>
          <w:color w:val="000000" w:themeColor="text1"/>
          <w:lang w:val="en-US" w:eastAsia="zh-CN"/>
          <w14:textFill>
            <w14:solidFill>
              <w14:schemeClr w14:val="tx1"/>
            </w14:solidFill>
          </w14:textFill>
        </w:rPr>
        <w:t>应</w:t>
      </w:r>
      <w:r>
        <w:rPr>
          <w:rFonts w:hint="eastAsia"/>
          <w:color w:val="000000" w:themeColor="text1"/>
          <w:lang w:eastAsia="zh-CN"/>
          <w14:textFill>
            <w14:solidFill>
              <w14:schemeClr w14:val="tx1"/>
            </w14:solidFill>
          </w14:textFill>
        </w:rPr>
        <w:t>符合GB/T</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28181</w:t>
      </w:r>
      <w:r>
        <w:rPr>
          <w:rFonts w:hint="eastAsia"/>
          <w:color w:val="000000" w:themeColor="text1"/>
          <w:lang w:val="en-US" w:eastAsia="zh-CN"/>
          <w14:textFill>
            <w14:solidFill>
              <w14:schemeClr w14:val="tx1"/>
            </w14:solidFill>
          </w14:textFill>
        </w:rPr>
        <w:t>的要求</w:t>
      </w:r>
      <w:r>
        <w:rPr>
          <w:rFonts w:hint="eastAsia"/>
          <w:color w:val="000000" w:themeColor="text1"/>
          <w:lang w:eastAsia="zh-CN"/>
          <w14:textFill>
            <w14:solidFill>
              <w14:schemeClr w14:val="tx1"/>
            </w14:solidFill>
          </w14:textFill>
        </w:rPr>
        <w:t>，视频分辨率</w:t>
      </w:r>
      <w:r>
        <w:rPr>
          <w:rFonts w:hint="eastAsia"/>
          <w:color w:val="000000" w:themeColor="text1"/>
          <w:lang w:val="en-US" w:eastAsia="zh-CN"/>
          <w14:textFill>
            <w14:solidFill>
              <w14:schemeClr w14:val="tx1"/>
            </w14:solidFill>
          </w14:textFill>
        </w:rPr>
        <w:t>应</w:t>
      </w:r>
      <w:r>
        <w:rPr>
          <w:rFonts w:hint="eastAsia"/>
          <w:color w:val="000000" w:themeColor="text1"/>
          <w:lang w:eastAsia="zh-CN"/>
          <w14:textFill>
            <w14:solidFill>
              <w14:schemeClr w14:val="tx1"/>
            </w14:solidFill>
          </w14:textFill>
        </w:rPr>
        <w:t>达到1920*1080及以上，视频码率</w:t>
      </w:r>
      <w:r>
        <w:rPr>
          <w:rFonts w:hint="eastAsia"/>
          <w:color w:val="000000" w:themeColor="text1"/>
          <w:lang w:val="en-US" w:eastAsia="zh-CN"/>
          <w14:textFill>
            <w14:solidFill>
              <w14:schemeClr w14:val="tx1"/>
            </w14:solidFill>
          </w14:textFill>
        </w:rPr>
        <w:t>应</w:t>
      </w:r>
      <w:r>
        <w:rPr>
          <w:rFonts w:hint="eastAsia"/>
          <w:color w:val="000000" w:themeColor="text1"/>
          <w:lang w:eastAsia="zh-CN"/>
          <w14:textFill>
            <w14:solidFill>
              <w14:schemeClr w14:val="tx1"/>
            </w14:solidFill>
          </w14:textFill>
        </w:rPr>
        <w:t>达到1Mbps及以上，</w:t>
      </w:r>
      <w:r>
        <w:rPr>
          <w:rFonts w:hint="eastAsia"/>
          <w:color w:val="000000" w:themeColor="text1"/>
          <w:lang w:val="en-US" w:eastAsia="zh-CN"/>
          <w14:textFill>
            <w14:solidFill>
              <w14:schemeClr w14:val="tx1"/>
            </w14:solidFill>
          </w14:textFill>
        </w:rPr>
        <w:t>实现</w:t>
      </w:r>
      <w:r>
        <w:rPr>
          <w:rFonts w:hint="eastAsia"/>
          <w:color w:val="000000" w:themeColor="text1"/>
          <w:lang w:eastAsia="zh-CN"/>
          <w14:textFill>
            <w14:solidFill>
              <w14:schemeClr w14:val="tx1"/>
            </w14:solidFill>
          </w14:textFill>
        </w:rPr>
        <w:t>清晰识别监控区域内的人员、设备及物体</w:t>
      </w:r>
      <w:r>
        <w:rPr>
          <w:rFonts w:hint="eastAsia"/>
          <w:color w:val="000000" w:themeColor="text1"/>
          <w:lang w:val="en-US" w:eastAsia="zh-CN"/>
          <w14:textFill>
            <w14:solidFill>
              <w14:schemeClr w14:val="tx1"/>
            </w14:solidFill>
          </w14:textFill>
        </w:rPr>
        <w:t>的功能</w:t>
      </w:r>
      <w:r>
        <w:rPr>
          <w:rFonts w:hint="eastAsia"/>
          <w:color w:val="000000" w:themeColor="text1"/>
          <w:lang w:eastAsia="zh-CN"/>
          <w14:textFill>
            <w14:solidFill>
              <w14:schemeClr w14:val="tx1"/>
            </w14:solidFill>
          </w14:textFill>
        </w:rPr>
        <w:t>。</w:t>
      </w:r>
    </w:p>
    <w:p w14:paraId="579E9E17">
      <w:pPr>
        <w:pStyle w:val="166"/>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监控摄像头应具备数据存储功能，可内置存储卡或连接外部存储设备，存储时间</w:t>
      </w:r>
      <w:r>
        <w:rPr>
          <w:rFonts w:hint="eastAsia"/>
          <w:color w:val="000000" w:themeColor="text1"/>
          <w:lang w:val="en-US" w:eastAsia="zh-CN"/>
          <w14:textFill>
            <w14:solidFill>
              <w14:schemeClr w14:val="tx1"/>
            </w14:solidFill>
          </w14:textFill>
        </w:rPr>
        <w:t>自项目归档</w:t>
      </w:r>
      <w:r>
        <w:rPr>
          <w:rFonts w:hint="eastAsia"/>
          <w:color w:val="000000" w:themeColor="text1"/>
          <w:lang w:eastAsia="zh-CN"/>
          <w14:textFill>
            <w14:solidFill>
              <w14:schemeClr w14:val="tx1"/>
            </w14:solidFill>
          </w14:textFill>
        </w:rPr>
        <w:t>之日起保存不少于90天。</w:t>
      </w:r>
    </w:p>
    <w:p w14:paraId="7A1189EF">
      <w:pPr>
        <w:pStyle w:val="166"/>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对于采用电池供电的监控摄像头，</w:t>
      </w:r>
      <w:r>
        <w:rPr>
          <w:rFonts w:hint="eastAsia"/>
          <w:color w:val="000000" w:themeColor="text1"/>
          <w:lang w:val="en-US" w:eastAsia="zh-CN"/>
          <w14:textFill>
            <w14:solidFill>
              <w14:schemeClr w14:val="tx1"/>
            </w14:solidFill>
          </w14:textFill>
        </w:rPr>
        <w:t>应</w:t>
      </w:r>
      <w:r>
        <w:rPr>
          <w:rFonts w:hint="eastAsia"/>
          <w:color w:val="000000" w:themeColor="text1"/>
          <w:lang w:eastAsia="zh-CN"/>
          <w14:textFill>
            <w14:solidFill>
              <w14:schemeClr w14:val="tx1"/>
            </w14:solidFill>
          </w14:textFill>
        </w:rPr>
        <w:t>有足够的备用电池确保不断电。施工机组应每日在开机前检查电池电量，并在摄像头作业期间关注电池剩余电量，保证摄像头不断电。</w:t>
      </w:r>
    </w:p>
    <w:p w14:paraId="432A2BD3">
      <w:pPr>
        <w:pStyle w:val="166"/>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监控摄像头的安装位置应视野开阔，能够清晰拍摄到监控区域内的主要活动和关键部位，避免被建筑物、树木、设备等遮挡。</w:t>
      </w:r>
    </w:p>
    <w:p w14:paraId="365A5257">
      <w:pPr>
        <w:pStyle w:val="166"/>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安装位置应尽量选择在稳定、不易受到振动和干扰的地方，确保监控摄像头拍摄画面稳定。</w:t>
      </w:r>
    </w:p>
    <w:p w14:paraId="4215A79A">
      <w:pPr>
        <w:pStyle w:val="57"/>
        <w:ind w:firstLine="420"/>
      </w:pPr>
    </w:p>
    <w:p w14:paraId="53CB8A2C">
      <w:pPr>
        <w:pStyle w:val="57"/>
        <w:ind w:firstLine="420"/>
        <w:sectPr>
          <w:pgSz w:w="11906" w:h="16838"/>
          <w:pgMar w:top="1928" w:right="1134" w:bottom="1134" w:left="1134" w:header="1418" w:footer="1134" w:gutter="284"/>
          <w:pgNumType w:start="1"/>
          <w:cols w:space="425" w:num="1"/>
          <w:formProt w:val="0"/>
          <w:docGrid w:linePitch="312" w:charSpace="0"/>
        </w:sectPr>
      </w:pPr>
    </w:p>
    <w:bookmarkEnd w:id="24"/>
    <w:p w14:paraId="4280A1E9">
      <w:pPr>
        <w:pStyle w:val="199"/>
        <w:rPr>
          <w:rFonts w:hint="eastAsia"/>
        </w:rPr>
      </w:pPr>
      <w:bookmarkStart w:id="85" w:name="BookMark5"/>
    </w:p>
    <w:p w14:paraId="5BD03F02">
      <w:pPr>
        <w:pStyle w:val="200"/>
      </w:pPr>
    </w:p>
    <w:p w14:paraId="501D6842">
      <w:pPr>
        <w:pStyle w:val="199"/>
        <w:rPr>
          <w:rFonts w:hint="eastAsia"/>
        </w:rPr>
      </w:pPr>
    </w:p>
    <w:p w14:paraId="13AE928A">
      <w:pPr>
        <w:pStyle w:val="199"/>
        <w:rPr>
          <w:rFonts w:hint="eastAsia"/>
        </w:rPr>
      </w:pPr>
    </w:p>
    <w:p w14:paraId="2B38617F">
      <w:pPr>
        <w:pStyle w:val="200"/>
      </w:pPr>
    </w:p>
    <w:p w14:paraId="4C119D25">
      <w:pPr>
        <w:pStyle w:val="77"/>
        <w:spacing w:after="120"/>
      </w:pPr>
      <w:bookmarkStart w:id="86" w:name="_Toc32219"/>
      <w:r>
        <w:br w:type="textWrapping"/>
      </w:r>
      <w:r>
        <w:rPr>
          <w:rFonts w:hint="eastAsia"/>
        </w:rPr>
        <w:t>（资料性）</w:t>
      </w:r>
      <w:r>
        <w:br w:type="textWrapping"/>
      </w:r>
      <w:r>
        <w:rPr>
          <w:rFonts w:hint="eastAsia"/>
          <w:lang w:val="en-US" w:eastAsia="zh-CN"/>
        </w:rPr>
        <w:t>安全技术交底记录表</w:t>
      </w:r>
      <w:bookmarkEnd w:id="86"/>
    </w:p>
    <w:p w14:paraId="650328D9">
      <w:pPr>
        <w:pStyle w:val="57"/>
        <w:spacing w:before="313" w:beforeLines="100" w:after="313" w:afterLines="100"/>
        <w:rPr>
          <w:rFonts w:hint="eastAsia" w:hAnsi="Times New Roman"/>
          <w:lang w:val="en-US" w:eastAsia="zh-CN"/>
        </w:rPr>
      </w:pPr>
      <w:r>
        <w:rPr>
          <w:rFonts w:hint="eastAsia" w:hAnsi="Times New Roman"/>
          <w:lang w:eastAsia="zh-CN"/>
        </w:rPr>
        <w:t>表</w:t>
      </w:r>
      <w:r>
        <w:rPr>
          <w:rFonts w:hint="eastAsia"/>
          <w:lang w:val="en-US" w:eastAsia="zh-CN"/>
        </w:rPr>
        <w:t>A</w:t>
      </w:r>
      <w:r>
        <w:rPr>
          <w:rFonts w:hint="eastAsia" w:hAnsi="Times New Roman"/>
          <w:lang w:val="en-US" w:eastAsia="zh-CN"/>
        </w:rPr>
        <w:t>.1给出了安全技术交底记录表的示例。</w:t>
      </w:r>
    </w:p>
    <w:p w14:paraId="11CBA748">
      <w:pPr>
        <w:pStyle w:val="57"/>
        <w:autoSpaceDE/>
        <w:autoSpaceDN/>
        <w:spacing w:before="162" w:beforeLines="50" w:after="162" w:afterLines="50"/>
        <w:jc w:val="center"/>
        <w:rPr>
          <w:rFonts w:hint="eastAsia" w:ascii="黑体" w:hAnsi="黑体" w:eastAsia="黑体" w:cs="黑体"/>
          <w:lang w:val="en-US" w:eastAsia="zh-CN"/>
        </w:rPr>
      </w:pPr>
      <w:r>
        <w:rPr>
          <w:rFonts w:hint="eastAsia" w:ascii="黑体" w:hAnsi="黑体" w:eastAsia="黑体" w:cs="黑体"/>
          <w:lang w:val="en-US" w:eastAsia="zh-CN"/>
        </w:rPr>
        <w:t>表A.1  安全技术交底记录表</w:t>
      </w:r>
    </w:p>
    <w:tbl>
      <w:tblPr>
        <w:tblStyle w:val="28"/>
        <w:tblW w:w="47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16"/>
        <w:gridCol w:w="2369"/>
        <w:gridCol w:w="1680"/>
        <w:gridCol w:w="778"/>
        <w:gridCol w:w="1176"/>
        <w:gridCol w:w="1162"/>
      </w:tblGrid>
      <w:tr w14:paraId="37F02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000" w:type="pct"/>
            <w:gridSpan w:val="6"/>
            <w:tcBorders>
              <w:top w:val="single" w:color="auto" w:sz="8" w:space="0"/>
              <w:bottom w:val="single" w:color="auto" w:sz="8" w:space="0"/>
            </w:tcBorders>
            <w:shd w:val="clear" w:color="auto" w:fill="auto"/>
            <w:vAlign w:val="center"/>
          </w:tcPr>
          <w:p w14:paraId="35C70EC1">
            <w:pPr>
              <w:pStyle w:val="179"/>
              <w:jc w:val="center"/>
              <w:rPr>
                <w:rFonts w:hint="default" w:eastAsia="宋体"/>
                <w:lang w:val="en-US" w:eastAsia="zh-CN"/>
              </w:rPr>
            </w:pPr>
            <w:r>
              <w:rPr>
                <w:rFonts w:hint="eastAsia"/>
                <w:lang w:val="en-US" w:eastAsia="zh-CN"/>
              </w:rPr>
              <w:t>安全技术交底记录表</w:t>
            </w:r>
          </w:p>
        </w:tc>
      </w:tr>
      <w:tr w14:paraId="2CB63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tcBorders>
              <w:top w:val="single" w:color="auto" w:sz="8" w:space="0"/>
            </w:tcBorders>
            <w:shd w:val="clear" w:color="auto" w:fill="auto"/>
            <w:vAlign w:val="center"/>
          </w:tcPr>
          <w:p w14:paraId="15ACF1E5">
            <w:pPr>
              <w:pStyle w:val="179"/>
              <w:jc w:val="center"/>
              <w:rPr>
                <w:rFonts w:hint="default" w:eastAsia="宋体"/>
                <w:lang w:val="en-US" w:eastAsia="zh-CN"/>
              </w:rPr>
            </w:pPr>
            <w:r>
              <w:rPr>
                <w:rFonts w:hint="eastAsia"/>
                <w:lang w:val="en-US" w:eastAsia="zh-CN"/>
              </w:rPr>
              <w:t>工程名称</w:t>
            </w:r>
          </w:p>
        </w:tc>
        <w:tc>
          <w:tcPr>
            <w:tcW w:w="1334" w:type="pct"/>
            <w:tcBorders>
              <w:top w:val="single" w:color="auto" w:sz="8" w:space="0"/>
            </w:tcBorders>
            <w:shd w:val="clear" w:color="auto" w:fill="auto"/>
            <w:vAlign w:val="center"/>
          </w:tcPr>
          <w:p w14:paraId="671C4F6D">
            <w:pPr>
              <w:pStyle w:val="179"/>
              <w:jc w:val="center"/>
            </w:pPr>
          </w:p>
        </w:tc>
        <w:tc>
          <w:tcPr>
            <w:tcW w:w="946" w:type="pct"/>
            <w:tcBorders>
              <w:top w:val="single" w:color="auto" w:sz="8" w:space="0"/>
            </w:tcBorders>
            <w:shd w:val="clear" w:color="auto" w:fill="auto"/>
            <w:vAlign w:val="center"/>
          </w:tcPr>
          <w:p w14:paraId="767DFDF5">
            <w:pPr>
              <w:pStyle w:val="179"/>
              <w:jc w:val="center"/>
              <w:rPr>
                <w:rFonts w:hint="default" w:eastAsia="宋体"/>
                <w:lang w:val="en-US" w:eastAsia="zh-CN"/>
              </w:rPr>
            </w:pPr>
            <w:r>
              <w:rPr>
                <w:rFonts w:hint="eastAsia"/>
                <w:lang w:val="en-US" w:eastAsia="zh-CN"/>
              </w:rPr>
              <w:t>工程编号</w:t>
            </w:r>
          </w:p>
        </w:tc>
        <w:tc>
          <w:tcPr>
            <w:tcW w:w="1752" w:type="pct"/>
            <w:gridSpan w:val="3"/>
            <w:tcBorders>
              <w:top w:val="single" w:color="auto" w:sz="8" w:space="0"/>
            </w:tcBorders>
            <w:shd w:val="clear" w:color="auto" w:fill="auto"/>
            <w:vAlign w:val="center"/>
          </w:tcPr>
          <w:p w14:paraId="4A819458">
            <w:pPr>
              <w:pStyle w:val="181"/>
              <w:numPr>
                <w:ilvl w:val="0"/>
                <w:numId w:val="0"/>
              </w:numPr>
              <w:ind w:left="363" w:leftChars="0"/>
              <w:jc w:val="center"/>
            </w:pPr>
          </w:p>
        </w:tc>
      </w:tr>
      <w:tr w14:paraId="078B1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shd w:val="clear" w:color="auto" w:fill="auto"/>
            <w:vAlign w:val="center"/>
          </w:tcPr>
          <w:p w14:paraId="77E479FD">
            <w:pPr>
              <w:pStyle w:val="179"/>
              <w:jc w:val="center"/>
              <w:rPr>
                <w:rFonts w:hint="default" w:eastAsia="宋体"/>
                <w:lang w:val="en-US" w:eastAsia="zh-CN"/>
              </w:rPr>
            </w:pPr>
            <w:r>
              <w:rPr>
                <w:rFonts w:hint="eastAsia"/>
                <w:lang w:val="en-US" w:eastAsia="zh-CN"/>
              </w:rPr>
              <w:t>工程地址</w:t>
            </w:r>
          </w:p>
        </w:tc>
        <w:tc>
          <w:tcPr>
            <w:tcW w:w="1334" w:type="pct"/>
            <w:shd w:val="clear" w:color="auto" w:fill="auto"/>
            <w:vAlign w:val="center"/>
          </w:tcPr>
          <w:p w14:paraId="4AF6F00A">
            <w:pPr>
              <w:pStyle w:val="179"/>
              <w:jc w:val="center"/>
            </w:pPr>
          </w:p>
        </w:tc>
        <w:tc>
          <w:tcPr>
            <w:tcW w:w="946" w:type="pct"/>
            <w:shd w:val="clear" w:color="auto" w:fill="auto"/>
            <w:vAlign w:val="center"/>
          </w:tcPr>
          <w:p w14:paraId="0845F931">
            <w:pPr>
              <w:pStyle w:val="179"/>
              <w:jc w:val="center"/>
              <w:rPr>
                <w:rFonts w:hint="eastAsia" w:eastAsia="宋体"/>
                <w:lang w:val="en-US" w:eastAsia="zh-CN"/>
              </w:rPr>
            </w:pPr>
            <w:r>
              <w:rPr>
                <w:rFonts w:hint="eastAsia"/>
                <w:lang w:val="en-US" w:eastAsia="zh-CN"/>
              </w:rPr>
              <w:t>合同段</w:t>
            </w:r>
          </w:p>
        </w:tc>
        <w:tc>
          <w:tcPr>
            <w:tcW w:w="1752" w:type="pct"/>
            <w:gridSpan w:val="3"/>
            <w:shd w:val="clear" w:color="auto" w:fill="auto"/>
            <w:vAlign w:val="center"/>
          </w:tcPr>
          <w:p w14:paraId="7FBA3732">
            <w:pPr>
              <w:pStyle w:val="184"/>
              <w:numPr>
                <w:ilvl w:val="0"/>
                <w:numId w:val="0"/>
              </w:numPr>
              <w:ind w:left="363" w:leftChars="0"/>
              <w:jc w:val="center"/>
            </w:pPr>
          </w:p>
        </w:tc>
      </w:tr>
      <w:tr w14:paraId="2CC34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shd w:val="clear" w:color="auto" w:fill="auto"/>
            <w:vAlign w:val="center"/>
          </w:tcPr>
          <w:p w14:paraId="09B2F76A">
            <w:pPr>
              <w:pStyle w:val="179"/>
              <w:jc w:val="center"/>
              <w:rPr>
                <w:rFonts w:hint="default" w:eastAsia="宋体"/>
                <w:lang w:val="en-US" w:eastAsia="zh-CN"/>
              </w:rPr>
            </w:pPr>
            <w:r>
              <w:rPr>
                <w:rFonts w:hint="eastAsia"/>
                <w:lang w:val="en-US" w:eastAsia="zh-CN"/>
              </w:rPr>
              <w:t>承包单位</w:t>
            </w:r>
          </w:p>
        </w:tc>
        <w:tc>
          <w:tcPr>
            <w:tcW w:w="1334" w:type="pct"/>
            <w:shd w:val="clear" w:color="auto" w:fill="auto"/>
            <w:vAlign w:val="center"/>
          </w:tcPr>
          <w:p w14:paraId="56DFB152">
            <w:pPr>
              <w:pStyle w:val="179"/>
              <w:jc w:val="center"/>
            </w:pPr>
          </w:p>
        </w:tc>
        <w:tc>
          <w:tcPr>
            <w:tcW w:w="946" w:type="pct"/>
            <w:shd w:val="clear" w:color="auto" w:fill="auto"/>
            <w:vAlign w:val="center"/>
          </w:tcPr>
          <w:p w14:paraId="7B634522">
            <w:pPr>
              <w:pStyle w:val="179"/>
              <w:jc w:val="center"/>
              <w:rPr>
                <w:rFonts w:hint="eastAsia" w:eastAsia="宋体"/>
                <w:lang w:val="en-US" w:eastAsia="zh-CN"/>
              </w:rPr>
            </w:pPr>
            <w:r>
              <w:rPr>
                <w:rFonts w:hint="eastAsia"/>
                <w:lang w:val="en-US" w:eastAsia="zh-CN"/>
              </w:rPr>
              <w:t>负责人</w:t>
            </w:r>
          </w:p>
        </w:tc>
        <w:tc>
          <w:tcPr>
            <w:tcW w:w="438" w:type="pct"/>
            <w:shd w:val="clear" w:color="auto" w:fill="auto"/>
            <w:vAlign w:val="center"/>
          </w:tcPr>
          <w:p w14:paraId="7DDD4660">
            <w:pPr>
              <w:pStyle w:val="179"/>
              <w:jc w:val="center"/>
            </w:pPr>
          </w:p>
        </w:tc>
        <w:tc>
          <w:tcPr>
            <w:tcW w:w="662" w:type="pct"/>
            <w:shd w:val="clear" w:color="auto" w:fill="auto"/>
            <w:vAlign w:val="center"/>
          </w:tcPr>
          <w:p w14:paraId="188B4741">
            <w:pPr>
              <w:pStyle w:val="179"/>
              <w:jc w:val="center"/>
              <w:rPr>
                <w:rFonts w:hint="eastAsia" w:eastAsia="宋体"/>
                <w:lang w:val="en-US" w:eastAsia="zh-CN"/>
              </w:rPr>
            </w:pPr>
            <w:r>
              <w:rPr>
                <w:rFonts w:hint="eastAsia"/>
                <w:lang w:val="en-US" w:eastAsia="zh-CN"/>
              </w:rPr>
              <w:t>联系电话</w:t>
            </w:r>
          </w:p>
        </w:tc>
        <w:tc>
          <w:tcPr>
            <w:tcW w:w="650" w:type="pct"/>
            <w:shd w:val="clear" w:color="auto" w:fill="auto"/>
            <w:vAlign w:val="center"/>
          </w:tcPr>
          <w:p w14:paraId="2758D40E">
            <w:pPr>
              <w:pStyle w:val="183"/>
              <w:ind w:firstLine="360"/>
              <w:jc w:val="center"/>
            </w:pPr>
          </w:p>
        </w:tc>
      </w:tr>
      <w:tr w14:paraId="4C3C6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shd w:val="clear" w:color="auto" w:fill="auto"/>
            <w:vAlign w:val="center"/>
          </w:tcPr>
          <w:p w14:paraId="4A12D7D2">
            <w:pPr>
              <w:pStyle w:val="179"/>
              <w:jc w:val="center"/>
              <w:rPr>
                <w:rFonts w:hint="default" w:eastAsia="宋体"/>
                <w:lang w:val="en-US" w:eastAsia="zh-CN"/>
              </w:rPr>
            </w:pPr>
            <w:r>
              <w:rPr>
                <w:rFonts w:hint="eastAsia"/>
                <w:lang w:val="en-US" w:eastAsia="zh-CN"/>
              </w:rPr>
              <w:t>监理单位</w:t>
            </w:r>
          </w:p>
        </w:tc>
        <w:tc>
          <w:tcPr>
            <w:tcW w:w="1334" w:type="pct"/>
            <w:shd w:val="clear" w:color="auto" w:fill="auto"/>
            <w:vAlign w:val="center"/>
          </w:tcPr>
          <w:p w14:paraId="42796C13">
            <w:pPr>
              <w:pStyle w:val="179"/>
              <w:jc w:val="center"/>
            </w:pPr>
          </w:p>
        </w:tc>
        <w:tc>
          <w:tcPr>
            <w:tcW w:w="946" w:type="pct"/>
            <w:shd w:val="clear" w:color="auto" w:fill="auto"/>
            <w:vAlign w:val="center"/>
          </w:tcPr>
          <w:p w14:paraId="00500396">
            <w:pPr>
              <w:pStyle w:val="179"/>
              <w:jc w:val="center"/>
              <w:rPr>
                <w:rFonts w:hint="eastAsia" w:eastAsia="宋体"/>
                <w:lang w:val="en-US" w:eastAsia="zh-CN"/>
              </w:rPr>
            </w:pPr>
            <w:r>
              <w:rPr>
                <w:rFonts w:hint="eastAsia"/>
                <w:lang w:val="en-US" w:eastAsia="zh-CN"/>
              </w:rPr>
              <w:t>负责人</w:t>
            </w:r>
          </w:p>
        </w:tc>
        <w:tc>
          <w:tcPr>
            <w:tcW w:w="438" w:type="pct"/>
            <w:shd w:val="clear" w:color="auto" w:fill="auto"/>
            <w:vAlign w:val="center"/>
          </w:tcPr>
          <w:p w14:paraId="2B631788">
            <w:pPr>
              <w:pStyle w:val="179"/>
              <w:jc w:val="center"/>
            </w:pPr>
          </w:p>
        </w:tc>
        <w:tc>
          <w:tcPr>
            <w:tcW w:w="662" w:type="pct"/>
            <w:shd w:val="clear" w:color="auto" w:fill="auto"/>
            <w:vAlign w:val="center"/>
          </w:tcPr>
          <w:p w14:paraId="1C2602A2">
            <w:pPr>
              <w:pStyle w:val="179"/>
              <w:jc w:val="center"/>
              <w:rPr>
                <w:rFonts w:hint="eastAsia" w:eastAsia="宋体"/>
                <w:lang w:val="en-US" w:eastAsia="zh-CN"/>
              </w:rPr>
            </w:pPr>
            <w:r>
              <w:rPr>
                <w:rFonts w:hint="eastAsia"/>
                <w:lang w:val="en-US" w:eastAsia="zh-CN"/>
              </w:rPr>
              <w:t>联系电话</w:t>
            </w:r>
          </w:p>
        </w:tc>
        <w:tc>
          <w:tcPr>
            <w:tcW w:w="650" w:type="pct"/>
            <w:shd w:val="clear" w:color="auto" w:fill="auto"/>
            <w:vAlign w:val="center"/>
          </w:tcPr>
          <w:p w14:paraId="4A897FD0">
            <w:pPr>
              <w:pStyle w:val="182"/>
              <w:numPr>
                <w:ilvl w:val="0"/>
                <w:numId w:val="0"/>
              </w:numPr>
              <w:ind w:left="363" w:leftChars="0"/>
              <w:jc w:val="center"/>
            </w:pPr>
          </w:p>
        </w:tc>
      </w:tr>
      <w:tr w14:paraId="33C8B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tcBorders>
              <w:bottom w:val="single" w:color="auto" w:sz="8" w:space="0"/>
            </w:tcBorders>
            <w:shd w:val="clear" w:color="auto" w:fill="auto"/>
            <w:vAlign w:val="center"/>
          </w:tcPr>
          <w:p w14:paraId="1947CC57">
            <w:pPr>
              <w:pStyle w:val="179"/>
              <w:jc w:val="center"/>
              <w:rPr>
                <w:rFonts w:hint="default" w:eastAsia="宋体"/>
                <w:lang w:val="en-US" w:eastAsia="zh-CN"/>
              </w:rPr>
            </w:pPr>
            <w:r>
              <w:rPr>
                <w:rFonts w:hint="eastAsia"/>
                <w:lang w:val="en-US" w:eastAsia="zh-CN"/>
              </w:rPr>
              <w:t>工程项目名称</w:t>
            </w:r>
          </w:p>
        </w:tc>
        <w:tc>
          <w:tcPr>
            <w:tcW w:w="4033" w:type="pct"/>
            <w:gridSpan w:val="5"/>
            <w:tcBorders>
              <w:bottom w:val="single" w:color="auto" w:sz="8" w:space="0"/>
            </w:tcBorders>
            <w:shd w:val="clear" w:color="auto" w:fill="auto"/>
            <w:vAlign w:val="center"/>
          </w:tcPr>
          <w:p w14:paraId="2386A985">
            <w:pPr>
              <w:pStyle w:val="180"/>
              <w:numPr>
                <w:ilvl w:val="0"/>
                <w:numId w:val="0"/>
              </w:numPr>
              <w:ind w:left="363" w:leftChars="0"/>
              <w:jc w:val="center"/>
            </w:pPr>
          </w:p>
        </w:tc>
      </w:tr>
      <w:tr w14:paraId="7DF38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tcBorders>
              <w:bottom w:val="single" w:color="auto" w:sz="8" w:space="0"/>
            </w:tcBorders>
            <w:shd w:val="clear" w:color="auto" w:fill="auto"/>
            <w:vAlign w:val="center"/>
          </w:tcPr>
          <w:p w14:paraId="69697AAD">
            <w:pPr>
              <w:pStyle w:val="179"/>
              <w:jc w:val="center"/>
              <w:rPr>
                <w:rFonts w:hint="eastAsia"/>
                <w:lang w:val="en-US" w:eastAsia="zh-CN"/>
              </w:rPr>
            </w:pPr>
            <w:r>
              <w:rPr>
                <w:rFonts w:hint="eastAsia"/>
                <w:lang w:val="en-US" w:eastAsia="zh-CN"/>
              </w:rPr>
              <w:t>施工日期</w:t>
            </w:r>
          </w:p>
        </w:tc>
        <w:tc>
          <w:tcPr>
            <w:tcW w:w="1334" w:type="pct"/>
            <w:tcBorders>
              <w:bottom w:val="single" w:color="auto" w:sz="8" w:space="0"/>
            </w:tcBorders>
            <w:shd w:val="clear" w:color="auto" w:fill="auto"/>
            <w:vAlign w:val="center"/>
          </w:tcPr>
          <w:p w14:paraId="5CDE0978">
            <w:pPr>
              <w:pStyle w:val="179"/>
              <w:jc w:val="center"/>
            </w:pPr>
          </w:p>
        </w:tc>
        <w:tc>
          <w:tcPr>
            <w:tcW w:w="946" w:type="pct"/>
            <w:tcBorders>
              <w:bottom w:val="single" w:color="auto" w:sz="8" w:space="0"/>
            </w:tcBorders>
            <w:shd w:val="clear" w:color="auto" w:fill="auto"/>
            <w:vAlign w:val="center"/>
          </w:tcPr>
          <w:p w14:paraId="2006506D">
            <w:pPr>
              <w:pStyle w:val="179"/>
              <w:jc w:val="center"/>
              <w:rPr>
                <w:rFonts w:hint="default" w:eastAsia="宋体"/>
                <w:lang w:val="en-US" w:eastAsia="zh-CN"/>
              </w:rPr>
            </w:pPr>
            <w:r>
              <w:rPr>
                <w:rFonts w:hint="eastAsia"/>
                <w:lang w:val="en-US" w:eastAsia="zh-CN"/>
              </w:rPr>
              <w:t>预计竣工日期</w:t>
            </w:r>
          </w:p>
        </w:tc>
        <w:tc>
          <w:tcPr>
            <w:tcW w:w="1752" w:type="pct"/>
            <w:gridSpan w:val="3"/>
            <w:tcBorders>
              <w:bottom w:val="single" w:color="auto" w:sz="8" w:space="0"/>
            </w:tcBorders>
            <w:shd w:val="clear" w:color="auto" w:fill="auto"/>
            <w:vAlign w:val="center"/>
          </w:tcPr>
          <w:p w14:paraId="3824856D">
            <w:pPr>
              <w:pStyle w:val="180"/>
              <w:numPr>
                <w:ilvl w:val="0"/>
                <w:numId w:val="0"/>
              </w:numPr>
              <w:ind w:left="363" w:leftChars="0"/>
              <w:jc w:val="center"/>
            </w:pPr>
          </w:p>
        </w:tc>
      </w:tr>
      <w:tr w14:paraId="6CDCA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97" w:hRule="atLeast"/>
          <w:jc w:val="center"/>
        </w:trPr>
        <w:tc>
          <w:tcPr>
            <w:tcW w:w="966" w:type="pct"/>
            <w:tcBorders>
              <w:top w:val="single" w:color="auto" w:sz="8" w:space="0"/>
              <w:bottom w:val="single" w:color="auto" w:sz="8" w:space="0"/>
            </w:tcBorders>
            <w:shd w:val="clear" w:color="auto" w:fill="auto"/>
            <w:vAlign w:val="center"/>
          </w:tcPr>
          <w:p w14:paraId="07FFD9BD">
            <w:pPr>
              <w:pStyle w:val="102"/>
              <w:numPr>
                <w:ilvl w:val="0"/>
                <w:numId w:val="0"/>
              </w:numPr>
              <w:jc w:val="center"/>
              <w:rPr>
                <w:rFonts w:hint="default" w:eastAsia="宋体"/>
                <w:lang w:val="en-US" w:eastAsia="zh-CN"/>
              </w:rPr>
            </w:pPr>
            <w:r>
              <w:rPr>
                <w:rFonts w:hint="eastAsia"/>
                <w:lang w:val="en-US" w:eastAsia="zh-CN"/>
              </w:rPr>
              <w:t>施工内容</w:t>
            </w:r>
          </w:p>
        </w:tc>
        <w:tc>
          <w:tcPr>
            <w:tcW w:w="4033" w:type="pct"/>
            <w:gridSpan w:val="5"/>
            <w:tcBorders>
              <w:top w:val="single" w:color="auto" w:sz="8" w:space="0"/>
              <w:bottom w:val="single" w:color="auto" w:sz="8" w:space="0"/>
            </w:tcBorders>
            <w:shd w:val="clear" w:color="auto" w:fill="auto"/>
            <w:vAlign w:val="center"/>
          </w:tcPr>
          <w:p w14:paraId="29D2D2E0">
            <w:pPr>
              <w:pStyle w:val="102"/>
              <w:numPr>
                <w:ilvl w:val="0"/>
                <w:numId w:val="0"/>
              </w:numPr>
              <w:jc w:val="center"/>
            </w:pPr>
          </w:p>
          <w:p w14:paraId="5DDDC02D">
            <w:pPr>
              <w:pStyle w:val="57"/>
            </w:pPr>
          </w:p>
          <w:p w14:paraId="1B74BDE5">
            <w:pPr>
              <w:pStyle w:val="57"/>
            </w:pPr>
          </w:p>
          <w:p w14:paraId="583148E6">
            <w:pPr>
              <w:pStyle w:val="57"/>
            </w:pPr>
          </w:p>
          <w:p w14:paraId="06735EF4">
            <w:pPr>
              <w:pStyle w:val="57"/>
            </w:pPr>
          </w:p>
          <w:p w14:paraId="33A0F2A9">
            <w:pPr>
              <w:pStyle w:val="57"/>
            </w:pPr>
          </w:p>
          <w:p w14:paraId="53412EE4">
            <w:pPr>
              <w:pStyle w:val="57"/>
            </w:pPr>
          </w:p>
          <w:p w14:paraId="2B26512C">
            <w:pPr>
              <w:pStyle w:val="57"/>
            </w:pPr>
          </w:p>
          <w:p w14:paraId="41ECE878">
            <w:pPr>
              <w:pStyle w:val="57"/>
            </w:pPr>
          </w:p>
          <w:p w14:paraId="155D93D5">
            <w:pPr>
              <w:pStyle w:val="57"/>
            </w:pPr>
          </w:p>
          <w:p w14:paraId="0003FF2C">
            <w:pPr>
              <w:pStyle w:val="57"/>
            </w:pPr>
          </w:p>
          <w:p w14:paraId="110A8D87">
            <w:pPr>
              <w:pStyle w:val="57"/>
            </w:pPr>
          </w:p>
          <w:p w14:paraId="07008575">
            <w:pPr>
              <w:pStyle w:val="57"/>
            </w:pPr>
          </w:p>
          <w:p w14:paraId="3C5779AF">
            <w:pPr>
              <w:pStyle w:val="57"/>
            </w:pPr>
          </w:p>
          <w:p w14:paraId="7E2EB8BC">
            <w:pPr>
              <w:pStyle w:val="57"/>
            </w:pPr>
          </w:p>
          <w:p w14:paraId="79489596">
            <w:pPr>
              <w:pStyle w:val="57"/>
            </w:pPr>
          </w:p>
          <w:p w14:paraId="5D4EA708">
            <w:pPr>
              <w:pStyle w:val="57"/>
            </w:pPr>
          </w:p>
        </w:tc>
      </w:tr>
      <w:tr w14:paraId="7BF2C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tcBorders>
              <w:top w:val="single" w:color="auto" w:sz="8" w:space="0"/>
              <w:bottom w:val="single" w:color="auto" w:sz="8" w:space="0"/>
            </w:tcBorders>
            <w:shd w:val="clear" w:color="auto" w:fill="auto"/>
            <w:vAlign w:val="center"/>
          </w:tcPr>
          <w:p w14:paraId="19E77527">
            <w:pPr>
              <w:pStyle w:val="102"/>
              <w:numPr>
                <w:ilvl w:val="0"/>
                <w:numId w:val="0"/>
              </w:numPr>
              <w:jc w:val="center"/>
              <w:rPr>
                <w:rFonts w:hint="default" w:eastAsia="宋体"/>
                <w:lang w:val="en-US" w:eastAsia="zh-CN"/>
              </w:rPr>
            </w:pPr>
            <w:r>
              <w:rPr>
                <w:rFonts w:hint="eastAsia"/>
                <w:lang w:val="en-US" w:eastAsia="zh-CN"/>
              </w:rPr>
              <w:t>交底负责人</w:t>
            </w:r>
          </w:p>
        </w:tc>
        <w:tc>
          <w:tcPr>
            <w:tcW w:w="1334" w:type="pct"/>
            <w:tcBorders>
              <w:top w:val="single" w:color="auto" w:sz="8" w:space="0"/>
              <w:bottom w:val="single" w:color="auto" w:sz="8" w:space="0"/>
            </w:tcBorders>
            <w:shd w:val="clear" w:color="auto" w:fill="auto"/>
            <w:vAlign w:val="center"/>
          </w:tcPr>
          <w:p w14:paraId="02930830">
            <w:pPr>
              <w:pStyle w:val="102"/>
              <w:numPr>
                <w:ilvl w:val="0"/>
                <w:numId w:val="0"/>
              </w:numPr>
              <w:ind w:left="420" w:leftChars="0"/>
              <w:jc w:val="center"/>
            </w:pPr>
          </w:p>
        </w:tc>
        <w:tc>
          <w:tcPr>
            <w:tcW w:w="946" w:type="pct"/>
            <w:tcBorders>
              <w:top w:val="single" w:color="auto" w:sz="8" w:space="0"/>
              <w:bottom w:val="single" w:color="auto" w:sz="8" w:space="0"/>
            </w:tcBorders>
            <w:shd w:val="clear" w:color="auto" w:fill="auto"/>
            <w:vAlign w:val="center"/>
          </w:tcPr>
          <w:p w14:paraId="2A12ED6C">
            <w:pPr>
              <w:pStyle w:val="102"/>
              <w:numPr>
                <w:ilvl w:val="0"/>
                <w:numId w:val="0"/>
              </w:numPr>
              <w:jc w:val="both"/>
              <w:rPr>
                <w:rFonts w:hint="default" w:eastAsia="宋体"/>
                <w:lang w:val="en-US" w:eastAsia="zh-CN"/>
              </w:rPr>
            </w:pPr>
            <w:r>
              <w:rPr>
                <w:rFonts w:hint="eastAsia"/>
                <w:lang w:val="en-US" w:eastAsia="zh-CN"/>
              </w:rPr>
              <w:t>交底时间</w:t>
            </w:r>
          </w:p>
        </w:tc>
        <w:tc>
          <w:tcPr>
            <w:tcW w:w="1752" w:type="pct"/>
            <w:gridSpan w:val="3"/>
            <w:tcBorders>
              <w:top w:val="single" w:color="auto" w:sz="8" w:space="0"/>
              <w:bottom w:val="single" w:color="auto" w:sz="8" w:space="0"/>
            </w:tcBorders>
            <w:shd w:val="clear" w:color="auto" w:fill="auto"/>
            <w:vAlign w:val="center"/>
          </w:tcPr>
          <w:p w14:paraId="5EAC7788">
            <w:pPr>
              <w:pStyle w:val="102"/>
              <w:numPr>
                <w:ilvl w:val="0"/>
                <w:numId w:val="0"/>
              </w:numPr>
              <w:jc w:val="center"/>
            </w:pPr>
          </w:p>
        </w:tc>
      </w:tr>
      <w:tr w14:paraId="485EE5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tcBorders>
              <w:top w:val="single" w:color="auto" w:sz="8" w:space="0"/>
              <w:bottom w:val="single" w:color="auto" w:sz="8" w:space="0"/>
            </w:tcBorders>
            <w:shd w:val="clear" w:color="auto" w:fill="auto"/>
            <w:vAlign w:val="center"/>
          </w:tcPr>
          <w:p w14:paraId="3C1A31E4">
            <w:pPr>
              <w:pStyle w:val="102"/>
              <w:numPr>
                <w:ilvl w:val="0"/>
                <w:numId w:val="0"/>
              </w:numPr>
              <w:jc w:val="center"/>
              <w:rPr>
                <w:rFonts w:hint="default"/>
                <w:lang w:val="en-US" w:eastAsia="zh-CN"/>
              </w:rPr>
            </w:pPr>
            <w:r>
              <w:rPr>
                <w:rFonts w:hint="eastAsia"/>
                <w:lang w:val="en-US" w:eastAsia="zh-CN"/>
              </w:rPr>
              <w:t>交底地点</w:t>
            </w:r>
          </w:p>
        </w:tc>
        <w:tc>
          <w:tcPr>
            <w:tcW w:w="4033" w:type="pct"/>
            <w:gridSpan w:val="5"/>
            <w:tcBorders>
              <w:top w:val="single" w:color="auto" w:sz="8" w:space="0"/>
              <w:bottom w:val="single" w:color="auto" w:sz="8" w:space="0"/>
            </w:tcBorders>
            <w:shd w:val="clear" w:color="auto" w:fill="auto"/>
            <w:vAlign w:val="center"/>
          </w:tcPr>
          <w:p w14:paraId="740844C7">
            <w:pPr>
              <w:pStyle w:val="102"/>
              <w:numPr>
                <w:ilvl w:val="0"/>
                <w:numId w:val="0"/>
              </w:numPr>
              <w:jc w:val="center"/>
            </w:pPr>
          </w:p>
        </w:tc>
      </w:tr>
      <w:tr w14:paraId="3E6DE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tcBorders>
              <w:top w:val="single" w:color="auto" w:sz="8" w:space="0"/>
              <w:bottom w:val="single" w:color="auto" w:sz="8" w:space="0"/>
            </w:tcBorders>
            <w:shd w:val="clear" w:color="auto" w:fill="auto"/>
            <w:vAlign w:val="center"/>
          </w:tcPr>
          <w:p w14:paraId="323EBEF2">
            <w:pPr>
              <w:pStyle w:val="102"/>
              <w:numPr>
                <w:ilvl w:val="0"/>
                <w:numId w:val="0"/>
              </w:numPr>
              <w:jc w:val="center"/>
              <w:rPr>
                <w:rFonts w:hint="default"/>
                <w:lang w:val="en-US" w:eastAsia="zh-CN"/>
              </w:rPr>
            </w:pPr>
            <w:r>
              <w:rPr>
                <w:rFonts w:hint="eastAsia"/>
                <w:lang w:val="en-US" w:eastAsia="zh-CN"/>
              </w:rPr>
              <w:t>技术交底技术管理人</w:t>
            </w:r>
          </w:p>
        </w:tc>
        <w:tc>
          <w:tcPr>
            <w:tcW w:w="1334" w:type="pct"/>
            <w:tcBorders>
              <w:top w:val="single" w:color="auto" w:sz="8" w:space="0"/>
              <w:bottom w:val="single" w:color="auto" w:sz="8" w:space="0"/>
            </w:tcBorders>
            <w:shd w:val="clear" w:color="auto" w:fill="auto"/>
            <w:vAlign w:val="center"/>
          </w:tcPr>
          <w:p w14:paraId="3FFA0E69">
            <w:pPr>
              <w:pStyle w:val="102"/>
              <w:numPr>
                <w:ilvl w:val="0"/>
                <w:numId w:val="0"/>
              </w:numPr>
              <w:ind w:left="420" w:leftChars="0"/>
              <w:jc w:val="center"/>
            </w:pPr>
          </w:p>
        </w:tc>
        <w:tc>
          <w:tcPr>
            <w:tcW w:w="946" w:type="pct"/>
            <w:tcBorders>
              <w:top w:val="single" w:color="auto" w:sz="8" w:space="0"/>
              <w:bottom w:val="single" w:color="auto" w:sz="8" w:space="0"/>
            </w:tcBorders>
            <w:shd w:val="clear" w:color="auto" w:fill="auto"/>
            <w:vAlign w:val="center"/>
          </w:tcPr>
          <w:p w14:paraId="60986C7C">
            <w:pPr>
              <w:pStyle w:val="102"/>
              <w:numPr>
                <w:ilvl w:val="0"/>
                <w:numId w:val="0"/>
              </w:numPr>
              <w:jc w:val="both"/>
              <w:rPr>
                <w:rFonts w:hint="eastAsia" w:eastAsia="宋体"/>
                <w:lang w:val="en-US" w:eastAsia="zh-CN"/>
              </w:rPr>
            </w:pPr>
            <w:r>
              <w:rPr>
                <w:rFonts w:hint="eastAsia"/>
                <w:lang w:val="en-US" w:eastAsia="zh-CN"/>
              </w:rPr>
              <w:t>接受交底技术管理人</w:t>
            </w:r>
          </w:p>
        </w:tc>
        <w:tc>
          <w:tcPr>
            <w:tcW w:w="1752" w:type="pct"/>
            <w:gridSpan w:val="3"/>
            <w:tcBorders>
              <w:top w:val="single" w:color="auto" w:sz="8" w:space="0"/>
              <w:bottom w:val="single" w:color="auto" w:sz="8" w:space="0"/>
            </w:tcBorders>
            <w:shd w:val="clear" w:color="auto" w:fill="auto"/>
            <w:vAlign w:val="center"/>
          </w:tcPr>
          <w:p w14:paraId="5B295021">
            <w:pPr>
              <w:pStyle w:val="102"/>
              <w:numPr>
                <w:ilvl w:val="0"/>
                <w:numId w:val="0"/>
              </w:numPr>
              <w:jc w:val="center"/>
            </w:pPr>
          </w:p>
        </w:tc>
      </w:tr>
      <w:tr w14:paraId="55534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66" w:type="pct"/>
            <w:tcBorders>
              <w:top w:val="single" w:color="auto" w:sz="8" w:space="0"/>
              <w:bottom w:val="single" w:color="auto" w:sz="8" w:space="0"/>
            </w:tcBorders>
            <w:shd w:val="clear" w:color="auto" w:fill="auto"/>
            <w:vAlign w:val="center"/>
          </w:tcPr>
          <w:p w14:paraId="4D38F241">
            <w:pPr>
              <w:pStyle w:val="102"/>
              <w:numPr>
                <w:ilvl w:val="0"/>
                <w:numId w:val="0"/>
              </w:numPr>
              <w:jc w:val="center"/>
              <w:rPr>
                <w:rFonts w:hint="default"/>
                <w:lang w:val="en-US" w:eastAsia="zh-CN"/>
              </w:rPr>
            </w:pPr>
            <w:r>
              <w:rPr>
                <w:rFonts w:hint="eastAsia"/>
                <w:lang w:val="en-US" w:eastAsia="zh-CN"/>
              </w:rPr>
              <w:t>备注</w:t>
            </w:r>
          </w:p>
        </w:tc>
        <w:tc>
          <w:tcPr>
            <w:tcW w:w="4033" w:type="pct"/>
            <w:gridSpan w:val="5"/>
            <w:tcBorders>
              <w:top w:val="single" w:color="auto" w:sz="8" w:space="0"/>
              <w:bottom w:val="single" w:color="auto" w:sz="8" w:space="0"/>
            </w:tcBorders>
            <w:shd w:val="clear" w:color="auto" w:fill="auto"/>
            <w:vAlign w:val="center"/>
          </w:tcPr>
          <w:p w14:paraId="5BC532FF">
            <w:pPr>
              <w:pStyle w:val="102"/>
              <w:numPr>
                <w:ilvl w:val="0"/>
                <w:numId w:val="0"/>
              </w:numPr>
              <w:jc w:val="center"/>
            </w:pPr>
          </w:p>
        </w:tc>
      </w:tr>
    </w:tbl>
    <w:p w14:paraId="34378ED6">
      <w:pPr>
        <w:pStyle w:val="57"/>
        <w:ind w:firstLine="420"/>
      </w:pPr>
    </w:p>
    <w:p w14:paraId="224C30D5">
      <w:pPr>
        <w:pStyle w:val="57"/>
        <w:ind w:firstLine="420"/>
      </w:pPr>
    </w:p>
    <w:p w14:paraId="2ACFC54A">
      <w:pPr>
        <w:pStyle w:val="57"/>
        <w:ind w:firstLine="420"/>
      </w:pPr>
    </w:p>
    <w:p w14:paraId="797A31B9">
      <w:pPr>
        <w:pStyle w:val="57"/>
        <w:ind w:firstLine="420"/>
        <w:sectPr>
          <w:pgSz w:w="11906" w:h="16838"/>
          <w:pgMar w:top="1928" w:right="1134" w:bottom="1134" w:left="1134" w:header="1418" w:footer="1134" w:gutter="284"/>
          <w:cols w:space="425" w:num="1"/>
          <w:formProt w:val="0"/>
          <w:docGrid w:linePitch="312" w:charSpace="0"/>
        </w:sectPr>
      </w:pPr>
    </w:p>
    <w:p w14:paraId="1EAFC098">
      <w:pPr>
        <w:pStyle w:val="57"/>
        <w:ind w:left="0" w:leftChars="0" w:firstLine="0" w:firstLineChars="0"/>
      </w:pPr>
    </w:p>
    <w:p w14:paraId="5A9C9939">
      <w:pPr>
        <w:pStyle w:val="77"/>
        <w:spacing w:after="120"/>
      </w:pPr>
      <w:bookmarkStart w:id="87" w:name="_Toc31998"/>
      <w:r>
        <w:br w:type="textWrapping"/>
      </w:r>
      <w:r>
        <w:rPr>
          <w:rFonts w:hint="eastAsia"/>
        </w:rPr>
        <w:t>（资料性）</w:t>
      </w:r>
      <w:r>
        <w:br w:type="textWrapping"/>
      </w:r>
      <w:r>
        <w:rPr>
          <w:rFonts w:hint="eastAsia"/>
          <w:lang w:val="en-US" w:eastAsia="zh-CN"/>
        </w:rPr>
        <w:t>班组班前讲话记录表</w:t>
      </w:r>
      <w:bookmarkEnd w:id="87"/>
    </w:p>
    <w:p w14:paraId="671435DC">
      <w:pPr>
        <w:pStyle w:val="57"/>
        <w:spacing w:before="313" w:beforeLines="100" w:after="313" w:afterLines="100"/>
        <w:rPr>
          <w:rFonts w:hint="eastAsia" w:hAnsi="Times New Roman"/>
          <w:lang w:val="en-US" w:eastAsia="zh-CN"/>
        </w:rPr>
      </w:pPr>
      <w:r>
        <w:rPr>
          <w:rFonts w:hint="eastAsia" w:hAnsi="Times New Roman"/>
          <w:lang w:eastAsia="zh-CN"/>
        </w:rPr>
        <w:t>表</w:t>
      </w:r>
      <w:r>
        <w:rPr>
          <w:rFonts w:hint="eastAsia"/>
          <w:lang w:val="en-US" w:eastAsia="zh-CN"/>
        </w:rPr>
        <w:t>B</w:t>
      </w:r>
      <w:r>
        <w:rPr>
          <w:rFonts w:hint="eastAsia" w:hAnsi="Times New Roman"/>
          <w:lang w:val="en-US" w:eastAsia="zh-CN"/>
        </w:rPr>
        <w:t>.1给出了班组班前讲话记录表的示例。</w:t>
      </w:r>
    </w:p>
    <w:p w14:paraId="36DE63E4">
      <w:pPr>
        <w:pStyle w:val="57"/>
        <w:autoSpaceDE/>
        <w:autoSpaceDN/>
        <w:spacing w:before="162" w:beforeLines="50" w:after="162" w:afterLines="50"/>
        <w:jc w:val="center"/>
        <w:rPr>
          <w:rFonts w:hint="eastAsia" w:ascii="黑体" w:hAnsi="黑体" w:eastAsia="黑体" w:cs="黑体"/>
          <w:lang w:val="en-US" w:eastAsia="zh-CN"/>
        </w:rPr>
      </w:pPr>
      <w:r>
        <w:rPr>
          <w:rFonts w:hint="eastAsia" w:ascii="黑体" w:hAnsi="黑体" w:eastAsia="黑体" w:cs="黑体"/>
          <w:lang w:val="en-US" w:eastAsia="zh-CN"/>
        </w:rPr>
        <w:t>表B.1  班组班前讲话记录表</w:t>
      </w:r>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21"/>
        <w:gridCol w:w="1327"/>
        <w:gridCol w:w="1342"/>
        <w:gridCol w:w="1327"/>
        <w:gridCol w:w="1359"/>
        <w:gridCol w:w="1333"/>
        <w:gridCol w:w="1363"/>
      </w:tblGrid>
      <w:tr w14:paraId="13057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705" w:type="pct"/>
            <w:tcBorders>
              <w:top w:val="single" w:color="auto" w:sz="8" w:space="0"/>
              <w:bottom w:val="single" w:color="auto" w:sz="8" w:space="0"/>
            </w:tcBorders>
            <w:shd w:val="clear" w:color="auto" w:fill="auto"/>
            <w:vAlign w:val="center"/>
          </w:tcPr>
          <w:p w14:paraId="318CBEF2">
            <w:pPr>
              <w:pStyle w:val="183"/>
              <w:ind w:left="0" w:leftChars="0" w:firstLine="0" w:firstLineChars="0"/>
              <w:jc w:val="center"/>
            </w:pPr>
            <w:r>
              <w:rPr>
                <w:rFonts w:hint="eastAsia"/>
              </w:rPr>
              <w:t>班组班前讲话记录表</w:t>
            </w:r>
          </w:p>
        </w:tc>
        <w:tc>
          <w:tcPr>
            <w:tcW w:w="2857" w:type="pct"/>
            <w:gridSpan w:val="4"/>
            <w:tcBorders>
              <w:top w:val="single" w:color="auto" w:sz="8" w:space="0"/>
              <w:bottom w:val="single" w:color="auto" w:sz="8" w:space="0"/>
            </w:tcBorders>
            <w:shd w:val="clear" w:color="auto" w:fill="auto"/>
            <w:vAlign w:val="center"/>
          </w:tcPr>
          <w:p w14:paraId="2D83F6D6">
            <w:pPr>
              <w:pStyle w:val="183"/>
              <w:ind w:left="0" w:leftChars="0" w:firstLine="0" w:firstLineChars="0"/>
              <w:jc w:val="center"/>
            </w:pPr>
            <w:r>
              <w:rPr>
                <w:rFonts w:hint="eastAsia"/>
              </w:rPr>
              <w:t>班组班前讲话记录表</w:t>
            </w:r>
          </w:p>
        </w:tc>
        <w:tc>
          <w:tcPr>
            <w:tcW w:w="711" w:type="pct"/>
            <w:tcBorders>
              <w:top w:val="single" w:color="auto" w:sz="8" w:space="0"/>
              <w:bottom w:val="single" w:color="auto" w:sz="8" w:space="0"/>
            </w:tcBorders>
            <w:shd w:val="clear" w:color="auto" w:fill="auto"/>
            <w:vAlign w:val="center"/>
          </w:tcPr>
          <w:p w14:paraId="3166B313">
            <w:pPr>
              <w:pStyle w:val="183"/>
              <w:ind w:left="0" w:leftChars="0" w:firstLine="0" w:firstLineChars="0"/>
              <w:jc w:val="center"/>
            </w:pPr>
            <w:r>
              <w:rPr>
                <w:rFonts w:hint="eastAsia"/>
              </w:rPr>
              <w:t>日期</w:t>
            </w:r>
          </w:p>
        </w:tc>
        <w:tc>
          <w:tcPr>
            <w:tcW w:w="725" w:type="pct"/>
            <w:tcBorders>
              <w:top w:val="single" w:color="auto" w:sz="8" w:space="0"/>
              <w:bottom w:val="single" w:color="auto" w:sz="8" w:space="0"/>
            </w:tcBorders>
            <w:shd w:val="clear" w:color="auto" w:fill="auto"/>
            <w:vAlign w:val="center"/>
          </w:tcPr>
          <w:p w14:paraId="1998FD03">
            <w:pPr>
              <w:pStyle w:val="183"/>
              <w:ind w:left="0" w:leftChars="0" w:firstLine="0" w:firstLineChars="0"/>
              <w:jc w:val="center"/>
            </w:pPr>
            <w:r>
              <w:rPr>
                <w:rFonts w:hint="eastAsia"/>
              </w:rPr>
              <w:t>年  月  日</w:t>
            </w:r>
          </w:p>
        </w:tc>
      </w:tr>
      <w:tr w14:paraId="33EC8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05" w:type="pct"/>
            <w:vMerge w:val="restart"/>
            <w:tcBorders>
              <w:top w:val="single" w:color="auto" w:sz="8" w:space="0"/>
            </w:tcBorders>
            <w:shd w:val="clear" w:color="auto" w:fill="auto"/>
            <w:vAlign w:val="center"/>
          </w:tcPr>
          <w:p w14:paraId="42587B84">
            <w:pPr>
              <w:pStyle w:val="183"/>
              <w:ind w:left="0" w:leftChars="0" w:firstLine="0" w:firstLineChars="0"/>
              <w:jc w:val="center"/>
              <w:rPr>
                <w:rFonts w:hint="eastAsia"/>
              </w:rPr>
            </w:pPr>
            <w:r>
              <w:rPr>
                <w:rFonts w:hint="eastAsia"/>
              </w:rPr>
              <w:t>施工</w:t>
            </w:r>
          </w:p>
          <w:p w14:paraId="60618728">
            <w:pPr>
              <w:pStyle w:val="183"/>
              <w:ind w:left="0" w:leftChars="0" w:firstLine="0" w:firstLineChars="0"/>
              <w:jc w:val="center"/>
            </w:pPr>
            <w:r>
              <w:rPr>
                <w:rFonts w:hint="eastAsia"/>
              </w:rPr>
              <w:t>单位</w:t>
            </w:r>
          </w:p>
        </w:tc>
        <w:tc>
          <w:tcPr>
            <w:tcW w:w="708" w:type="pct"/>
            <w:tcBorders>
              <w:top w:val="single" w:color="auto" w:sz="8" w:space="0"/>
            </w:tcBorders>
            <w:shd w:val="clear" w:color="auto" w:fill="auto"/>
            <w:vAlign w:val="center"/>
          </w:tcPr>
          <w:p w14:paraId="74DEE1FE">
            <w:pPr>
              <w:pStyle w:val="183"/>
              <w:ind w:left="0" w:leftChars="0" w:firstLine="0" w:firstLineChars="0"/>
              <w:jc w:val="center"/>
            </w:pPr>
            <w:r>
              <w:rPr>
                <w:rFonts w:hint="eastAsia"/>
                <w:lang w:val="en-US" w:eastAsia="zh-CN"/>
              </w:rPr>
              <w:t>总包</w:t>
            </w:r>
          </w:p>
        </w:tc>
        <w:tc>
          <w:tcPr>
            <w:tcW w:w="715" w:type="pct"/>
            <w:tcBorders>
              <w:top w:val="single" w:color="auto" w:sz="8" w:space="0"/>
            </w:tcBorders>
            <w:shd w:val="clear" w:color="auto" w:fill="auto"/>
            <w:vAlign w:val="center"/>
          </w:tcPr>
          <w:p w14:paraId="179C5DCC">
            <w:pPr>
              <w:pStyle w:val="183"/>
              <w:ind w:left="0" w:leftChars="0" w:firstLine="0" w:firstLineChars="0"/>
              <w:jc w:val="center"/>
            </w:pPr>
            <w:r>
              <w:rPr>
                <w:rFonts w:hint="eastAsia"/>
                <w:lang w:val="en-US" w:eastAsia="zh-CN"/>
              </w:rPr>
              <w:t>XX公司</w:t>
            </w:r>
          </w:p>
        </w:tc>
        <w:tc>
          <w:tcPr>
            <w:tcW w:w="708" w:type="pct"/>
            <w:vMerge w:val="restart"/>
            <w:tcBorders>
              <w:top w:val="single" w:color="auto" w:sz="8" w:space="0"/>
            </w:tcBorders>
            <w:shd w:val="clear" w:color="auto" w:fill="auto"/>
            <w:vAlign w:val="center"/>
          </w:tcPr>
          <w:p w14:paraId="2EC9B0BF">
            <w:pPr>
              <w:pStyle w:val="183"/>
              <w:ind w:left="0" w:leftChars="0" w:firstLine="0" w:firstLineChars="0"/>
              <w:jc w:val="center"/>
            </w:pPr>
            <w:r>
              <w:rPr>
                <w:rFonts w:hint="eastAsia"/>
                <w:lang w:val="en-US" w:eastAsia="zh-CN"/>
              </w:rPr>
              <w:t>天气</w:t>
            </w:r>
            <w:r>
              <w:rPr>
                <w:rFonts w:hint="eastAsia"/>
                <w:lang w:val="en-US" w:eastAsia="zh-CN"/>
              </w:rPr>
              <w:br w:type="textWrapping"/>
            </w:r>
            <w:r>
              <w:rPr>
                <w:rFonts w:hint="eastAsia"/>
                <w:lang w:val="en-US" w:eastAsia="zh-CN"/>
              </w:rPr>
              <w:t>情况</w:t>
            </w:r>
          </w:p>
        </w:tc>
        <w:tc>
          <w:tcPr>
            <w:tcW w:w="723" w:type="pct"/>
            <w:vMerge w:val="restart"/>
            <w:tcBorders>
              <w:top w:val="single" w:color="auto" w:sz="8" w:space="0"/>
            </w:tcBorders>
            <w:shd w:val="clear" w:color="auto" w:fill="auto"/>
            <w:vAlign w:val="center"/>
          </w:tcPr>
          <w:p w14:paraId="7A757191">
            <w:pPr>
              <w:pStyle w:val="183"/>
              <w:ind w:left="0" w:leftChars="0" w:firstLine="0" w:firstLineChars="0"/>
              <w:jc w:val="center"/>
            </w:pPr>
          </w:p>
        </w:tc>
        <w:tc>
          <w:tcPr>
            <w:tcW w:w="711" w:type="pct"/>
            <w:vMerge w:val="restart"/>
            <w:tcBorders>
              <w:top w:val="single" w:color="auto" w:sz="8" w:space="0"/>
            </w:tcBorders>
            <w:shd w:val="clear" w:color="auto" w:fill="auto"/>
            <w:vAlign w:val="center"/>
          </w:tcPr>
          <w:p w14:paraId="53FB451A">
            <w:pPr>
              <w:pStyle w:val="183"/>
              <w:ind w:left="0" w:leftChars="0" w:firstLine="0" w:firstLineChars="0"/>
              <w:jc w:val="center"/>
            </w:pPr>
            <w:r>
              <w:rPr>
                <w:rFonts w:hint="eastAsia"/>
                <w:lang w:val="en-US" w:eastAsia="zh-CN"/>
              </w:rPr>
              <w:t>安全员</w:t>
            </w:r>
          </w:p>
        </w:tc>
        <w:tc>
          <w:tcPr>
            <w:tcW w:w="725" w:type="pct"/>
            <w:vMerge w:val="restart"/>
            <w:tcBorders>
              <w:top w:val="single" w:color="auto" w:sz="8" w:space="0"/>
            </w:tcBorders>
            <w:shd w:val="clear" w:color="auto" w:fill="auto"/>
            <w:vAlign w:val="center"/>
          </w:tcPr>
          <w:p w14:paraId="53DE991C">
            <w:pPr>
              <w:pStyle w:val="183"/>
              <w:ind w:left="0" w:leftChars="0" w:firstLine="0" w:firstLineChars="0"/>
              <w:jc w:val="center"/>
            </w:pPr>
          </w:p>
        </w:tc>
      </w:tr>
      <w:tr w14:paraId="06DED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05" w:type="pct"/>
            <w:vMerge w:val="continue"/>
            <w:shd w:val="clear" w:color="auto" w:fill="auto"/>
            <w:vAlign w:val="center"/>
          </w:tcPr>
          <w:p w14:paraId="79462431">
            <w:pPr>
              <w:pStyle w:val="183"/>
              <w:ind w:left="0" w:leftChars="0" w:firstLine="0" w:firstLineChars="0"/>
              <w:jc w:val="center"/>
            </w:pPr>
          </w:p>
        </w:tc>
        <w:tc>
          <w:tcPr>
            <w:tcW w:w="708" w:type="pct"/>
            <w:shd w:val="clear" w:color="auto" w:fill="auto"/>
            <w:vAlign w:val="center"/>
          </w:tcPr>
          <w:p w14:paraId="405CD7CA">
            <w:pPr>
              <w:pStyle w:val="183"/>
              <w:ind w:left="0" w:leftChars="0" w:firstLine="0" w:firstLineChars="0"/>
              <w:jc w:val="center"/>
            </w:pPr>
            <w:r>
              <w:rPr>
                <w:rFonts w:hint="eastAsia"/>
                <w:lang w:val="en-US" w:eastAsia="zh-CN"/>
              </w:rPr>
              <w:t>劳务</w:t>
            </w:r>
          </w:p>
        </w:tc>
        <w:tc>
          <w:tcPr>
            <w:tcW w:w="715" w:type="pct"/>
            <w:shd w:val="clear" w:color="auto" w:fill="auto"/>
            <w:vAlign w:val="center"/>
          </w:tcPr>
          <w:p w14:paraId="50F168A9">
            <w:pPr>
              <w:pStyle w:val="183"/>
              <w:ind w:left="0" w:leftChars="0" w:firstLine="0" w:firstLineChars="0"/>
              <w:jc w:val="center"/>
            </w:pPr>
            <w:r>
              <w:rPr>
                <w:rFonts w:hint="eastAsia"/>
                <w:lang w:val="en-US" w:eastAsia="zh-CN"/>
              </w:rPr>
              <w:t>XX公司</w:t>
            </w:r>
          </w:p>
        </w:tc>
        <w:tc>
          <w:tcPr>
            <w:tcW w:w="708" w:type="pct"/>
            <w:vMerge w:val="continue"/>
            <w:shd w:val="clear" w:color="auto" w:fill="auto"/>
            <w:vAlign w:val="center"/>
          </w:tcPr>
          <w:p w14:paraId="7BFF30B0">
            <w:pPr>
              <w:pStyle w:val="183"/>
              <w:ind w:left="0" w:leftChars="0" w:firstLine="0" w:firstLineChars="0"/>
              <w:jc w:val="center"/>
            </w:pPr>
          </w:p>
        </w:tc>
        <w:tc>
          <w:tcPr>
            <w:tcW w:w="723" w:type="pct"/>
            <w:vMerge w:val="continue"/>
            <w:shd w:val="clear" w:color="auto" w:fill="auto"/>
            <w:vAlign w:val="center"/>
          </w:tcPr>
          <w:p w14:paraId="3A665F08">
            <w:pPr>
              <w:pStyle w:val="183"/>
              <w:ind w:left="0" w:leftChars="0" w:firstLine="0" w:firstLineChars="0"/>
              <w:jc w:val="center"/>
            </w:pPr>
          </w:p>
        </w:tc>
        <w:tc>
          <w:tcPr>
            <w:tcW w:w="711" w:type="pct"/>
            <w:vMerge w:val="continue"/>
            <w:shd w:val="clear" w:color="auto" w:fill="auto"/>
            <w:vAlign w:val="center"/>
          </w:tcPr>
          <w:p w14:paraId="441375D6">
            <w:pPr>
              <w:pStyle w:val="183"/>
              <w:ind w:left="0" w:leftChars="0" w:firstLine="0" w:firstLineChars="0"/>
              <w:jc w:val="center"/>
            </w:pPr>
          </w:p>
        </w:tc>
        <w:tc>
          <w:tcPr>
            <w:tcW w:w="725" w:type="pct"/>
            <w:vMerge w:val="continue"/>
            <w:shd w:val="clear" w:color="auto" w:fill="auto"/>
            <w:vAlign w:val="center"/>
          </w:tcPr>
          <w:p w14:paraId="2B971871">
            <w:pPr>
              <w:pStyle w:val="183"/>
              <w:ind w:left="0" w:leftChars="0" w:firstLine="0" w:firstLineChars="0"/>
              <w:jc w:val="center"/>
            </w:pPr>
          </w:p>
        </w:tc>
      </w:tr>
      <w:tr w14:paraId="0DF0E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05" w:type="pct"/>
            <w:shd w:val="clear" w:color="auto" w:fill="auto"/>
            <w:vAlign w:val="center"/>
          </w:tcPr>
          <w:p w14:paraId="381F4CD6">
            <w:pPr>
              <w:pStyle w:val="183"/>
              <w:ind w:left="0" w:leftChars="0" w:firstLine="0" w:firstLineChars="0"/>
              <w:jc w:val="center"/>
            </w:pPr>
            <w:r>
              <w:rPr>
                <w:rFonts w:hint="eastAsia"/>
              </w:rPr>
              <w:t>项目名称</w:t>
            </w:r>
          </w:p>
        </w:tc>
        <w:tc>
          <w:tcPr>
            <w:tcW w:w="1424" w:type="pct"/>
            <w:gridSpan w:val="2"/>
            <w:shd w:val="clear" w:color="auto" w:fill="auto"/>
            <w:vAlign w:val="center"/>
          </w:tcPr>
          <w:p w14:paraId="55EF870C">
            <w:pPr>
              <w:pStyle w:val="183"/>
              <w:ind w:left="0" w:leftChars="0" w:firstLine="0" w:firstLineChars="0"/>
              <w:jc w:val="center"/>
            </w:pPr>
            <w:r>
              <w:rPr>
                <w:rFonts w:hint="eastAsia"/>
                <w:lang w:val="en-US" w:eastAsia="zh-CN"/>
              </w:rPr>
              <w:t>XX子项</w:t>
            </w:r>
          </w:p>
        </w:tc>
        <w:tc>
          <w:tcPr>
            <w:tcW w:w="708" w:type="pct"/>
            <w:shd w:val="clear" w:color="auto" w:fill="auto"/>
            <w:vAlign w:val="center"/>
          </w:tcPr>
          <w:p w14:paraId="09EA59B7">
            <w:pPr>
              <w:pStyle w:val="183"/>
              <w:ind w:left="0" w:leftChars="0" w:firstLine="0" w:firstLineChars="0"/>
              <w:jc w:val="center"/>
            </w:pPr>
            <w:r>
              <w:rPr>
                <w:rFonts w:hint="eastAsia"/>
                <w:lang w:val="en-US" w:eastAsia="zh-CN"/>
              </w:rPr>
              <w:t>作业班组长</w:t>
            </w:r>
            <w:r>
              <w:rPr>
                <w:rFonts w:hint="eastAsia"/>
                <w:lang w:val="en-US" w:eastAsia="zh-CN"/>
              </w:rPr>
              <w:br w:type="textWrapping"/>
            </w:r>
            <w:r>
              <w:rPr>
                <w:rFonts w:hint="eastAsia"/>
                <w:lang w:val="en-US" w:eastAsia="zh-CN"/>
              </w:rPr>
              <w:t>及联系方式</w:t>
            </w:r>
          </w:p>
        </w:tc>
        <w:tc>
          <w:tcPr>
            <w:tcW w:w="723" w:type="pct"/>
            <w:shd w:val="clear" w:color="auto" w:fill="auto"/>
            <w:vAlign w:val="center"/>
          </w:tcPr>
          <w:p w14:paraId="0D1FDA51">
            <w:pPr>
              <w:pStyle w:val="183"/>
              <w:ind w:left="0" w:leftChars="0" w:firstLine="0" w:firstLineChars="0"/>
              <w:jc w:val="center"/>
            </w:pPr>
          </w:p>
        </w:tc>
        <w:tc>
          <w:tcPr>
            <w:tcW w:w="711" w:type="pct"/>
            <w:shd w:val="clear" w:color="auto" w:fill="auto"/>
            <w:vAlign w:val="center"/>
          </w:tcPr>
          <w:p w14:paraId="197E7B4A">
            <w:pPr>
              <w:pStyle w:val="183"/>
              <w:ind w:left="0" w:leftChars="0" w:firstLine="0" w:firstLineChars="0"/>
              <w:jc w:val="center"/>
            </w:pPr>
            <w:r>
              <w:rPr>
                <w:rFonts w:hint="eastAsia"/>
                <w:lang w:val="en-US" w:eastAsia="zh-CN"/>
              </w:rPr>
              <w:t>作业</w:t>
            </w:r>
            <w:r>
              <w:rPr>
                <w:rFonts w:hint="eastAsia"/>
                <w:lang w:val="en-US" w:eastAsia="zh-CN"/>
              </w:rPr>
              <w:br w:type="textWrapping"/>
            </w:r>
            <w:r>
              <w:rPr>
                <w:rFonts w:hint="eastAsia"/>
                <w:lang w:val="en-US" w:eastAsia="zh-CN"/>
              </w:rPr>
              <w:t>人数</w:t>
            </w:r>
          </w:p>
        </w:tc>
        <w:tc>
          <w:tcPr>
            <w:tcW w:w="725" w:type="pct"/>
            <w:shd w:val="clear" w:color="auto" w:fill="auto"/>
            <w:vAlign w:val="center"/>
          </w:tcPr>
          <w:p w14:paraId="1E804378">
            <w:pPr>
              <w:pStyle w:val="183"/>
              <w:ind w:left="0" w:leftChars="0" w:firstLine="0" w:firstLineChars="0"/>
              <w:jc w:val="center"/>
            </w:pPr>
          </w:p>
        </w:tc>
      </w:tr>
      <w:tr w14:paraId="34E3E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000" w:type="pct"/>
            <w:gridSpan w:val="7"/>
            <w:shd w:val="clear" w:color="auto" w:fill="auto"/>
            <w:vAlign w:val="center"/>
          </w:tcPr>
          <w:p w14:paraId="714D7FD6">
            <w:pPr>
              <w:pStyle w:val="183"/>
              <w:ind w:left="0" w:leftChars="0" w:firstLine="0" w:firstLineChars="0"/>
              <w:jc w:val="center"/>
            </w:pPr>
          </w:p>
        </w:tc>
      </w:tr>
      <w:tr w14:paraId="536E9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05" w:type="pct"/>
            <w:shd w:val="clear" w:color="auto" w:fill="auto"/>
            <w:vAlign w:val="center"/>
          </w:tcPr>
          <w:p w14:paraId="6A72A1C9">
            <w:pPr>
              <w:pStyle w:val="183"/>
              <w:ind w:left="0" w:leftChars="0" w:firstLine="0" w:firstLineChars="0"/>
              <w:jc w:val="center"/>
            </w:pPr>
            <w:r>
              <w:rPr>
                <w:rFonts w:hint="eastAsia"/>
              </w:rPr>
              <w:t>易造成事故类型</w:t>
            </w:r>
          </w:p>
        </w:tc>
        <w:tc>
          <w:tcPr>
            <w:tcW w:w="1424" w:type="pct"/>
            <w:gridSpan w:val="2"/>
            <w:shd w:val="clear" w:color="auto" w:fill="auto"/>
            <w:vAlign w:val="center"/>
          </w:tcPr>
          <w:p w14:paraId="4D637179">
            <w:pPr>
              <w:pStyle w:val="183"/>
              <w:ind w:left="0" w:leftChars="0" w:firstLine="0" w:firstLineChars="0"/>
              <w:jc w:val="left"/>
              <w:rPr>
                <w:rFonts w:hint="eastAsia"/>
              </w:rPr>
            </w:pPr>
            <w:r>
              <w:rPr>
                <w:rFonts w:hint="eastAsia"/>
              </w:rPr>
              <w:sym w:font="Wingdings" w:char="00A8"/>
            </w:r>
            <w:r>
              <w:rPr>
                <w:rFonts w:hint="eastAsia"/>
              </w:rPr>
              <w:t>高处坠落</w:t>
            </w:r>
            <w:r>
              <w:rPr>
                <w:rFonts w:hint="eastAsia"/>
              </w:rPr>
              <w:sym w:font="Wingdings" w:char="00A8"/>
            </w:r>
            <w:r>
              <w:rPr>
                <w:rFonts w:hint="eastAsia"/>
              </w:rPr>
              <w:t>物体打击</w:t>
            </w:r>
            <w:r>
              <w:rPr>
                <w:rFonts w:hint="eastAsia"/>
              </w:rPr>
              <w:sym w:font="Wingdings" w:char="00A8"/>
            </w:r>
            <w:r>
              <w:rPr>
                <w:rFonts w:hint="eastAsia"/>
              </w:rPr>
              <w:t>起重伤害</w:t>
            </w:r>
            <w:r>
              <w:rPr>
                <w:rFonts w:hint="eastAsia"/>
              </w:rPr>
              <w:sym w:font="Wingdings" w:char="00A8"/>
            </w:r>
            <w:r>
              <w:rPr>
                <w:rFonts w:hint="eastAsia"/>
              </w:rPr>
              <w:t>机械伤害</w:t>
            </w:r>
            <w:r>
              <w:rPr>
                <w:rFonts w:hint="eastAsia"/>
              </w:rPr>
              <w:sym w:font="Wingdings" w:char="00A8"/>
            </w:r>
            <w:r>
              <w:rPr>
                <w:rFonts w:hint="eastAsia"/>
              </w:rPr>
              <w:t>坍塌</w:t>
            </w:r>
            <w:r>
              <w:rPr>
                <w:rFonts w:hint="eastAsia"/>
              </w:rPr>
              <w:sym w:font="Wingdings" w:char="00A8"/>
            </w:r>
            <w:r>
              <w:rPr>
                <w:rFonts w:hint="eastAsia"/>
              </w:rPr>
              <w:t>火灾</w:t>
            </w:r>
            <w:r>
              <w:rPr>
                <w:rFonts w:hint="eastAsia"/>
              </w:rPr>
              <w:sym w:font="Wingdings" w:char="00A8"/>
            </w:r>
            <w:r>
              <w:rPr>
                <w:rFonts w:hint="eastAsia"/>
              </w:rPr>
              <w:t>触电</w:t>
            </w:r>
          </w:p>
          <w:p w14:paraId="2D962AA5">
            <w:pPr>
              <w:pStyle w:val="183"/>
              <w:ind w:left="0" w:leftChars="0" w:firstLine="0" w:firstLineChars="0"/>
              <w:jc w:val="left"/>
              <w:rPr>
                <w:rFonts w:hint="eastAsia" w:eastAsia="宋体"/>
                <w:lang w:eastAsia="zh-CN"/>
              </w:rPr>
            </w:pPr>
            <w:r>
              <w:rPr>
                <w:rFonts w:hint="eastAsia"/>
              </w:rPr>
              <w:sym w:font="Wingdings" w:char="00A8"/>
            </w:r>
            <w:r>
              <w:rPr>
                <w:rFonts w:hint="eastAsia"/>
              </w:rPr>
              <w:t>其它</w:t>
            </w:r>
            <w:r>
              <w:rPr>
                <w:rFonts w:hint="eastAsia"/>
                <w:lang w:eastAsia="zh-CN"/>
              </w:rPr>
              <w:t>：</w:t>
            </w:r>
          </w:p>
        </w:tc>
        <w:tc>
          <w:tcPr>
            <w:tcW w:w="708" w:type="pct"/>
            <w:shd w:val="clear" w:color="auto" w:fill="auto"/>
            <w:vAlign w:val="center"/>
          </w:tcPr>
          <w:p w14:paraId="39B3A8E7">
            <w:pPr>
              <w:pStyle w:val="183"/>
              <w:ind w:left="0" w:leftChars="0" w:firstLine="0" w:firstLineChars="0"/>
              <w:jc w:val="center"/>
              <w:rPr>
                <w:rFonts w:hint="eastAsia"/>
              </w:rPr>
            </w:pPr>
            <w:r>
              <w:rPr>
                <w:rFonts w:hint="eastAsia"/>
              </w:rPr>
              <w:t>劳动防护用品</w:t>
            </w:r>
          </w:p>
          <w:p w14:paraId="7B2FE9A7">
            <w:pPr>
              <w:pStyle w:val="183"/>
              <w:ind w:left="0" w:leftChars="0" w:firstLine="0" w:firstLineChars="0"/>
              <w:jc w:val="center"/>
            </w:pPr>
            <w:r>
              <w:rPr>
                <w:rFonts w:hint="eastAsia"/>
              </w:rPr>
              <w:t>配备、使用</w:t>
            </w:r>
          </w:p>
        </w:tc>
        <w:tc>
          <w:tcPr>
            <w:tcW w:w="2160" w:type="pct"/>
            <w:gridSpan w:val="3"/>
            <w:shd w:val="clear" w:color="auto" w:fill="auto"/>
            <w:vAlign w:val="center"/>
          </w:tcPr>
          <w:p w14:paraId="79D26652">
            <w:pPr>
              <w:pStyle w:val="183"/>
              <w:ind w:left="0" w:leftChars="0" w:firstLine="0" w:firstLineChars="0"/>
              <w:jc w:val="left"/>
              <w:rPr>
                <w:rFonts w:hint="eastAsia"/>
              </w:rPr>
            </w:pPr>
            <w:r>
              <w:rPr>
                <w:rFonts w:hint="eastAsia"/>
              </w:rPr>
              <w:sym w:font="Wingdings" w:char="00A8"/>
            </w:r>
            <w:r>
              <w:rPr>
                <w:rFonts w:hint="eastAsia"/>
              </w:rPr>
              <w:t>安全帽</w:t>
            </w:r>
            <w:r>
              <w:rPr>
                <w:rFonts w:hint="eastAsia"/>
              </w:rPr>
              <w:sym w:font="Wingdings" w:char="00A8"/>
            </w:r>
            <w:r>
              <w:rPr>
                <w:rFonts w:hint="eastAsia"/>
              </w:rPr>
              <w:t>反光背心</w:t>
            </w:r>
            <w:r>
              <w:rPr>
                <w:rFonts w:hint="eastAsia"/>
              </w:rPr>
              <w:sym w:font="Wingdings" w:char="00A8"/>
            </w:r>
            <w:r>
              <w:rPr>
                <w:rFonts w:hint="eastAsia"/>
              </w:rPr>
              <w:t>防噪音耳塞</w:t>
            </w:r>
            <w:r>
              <w:rPr>
                <w:rFonts w:hint="eastAsia"/>
              </w:rPr>
              <w:sym w:font="Wingdings" w:char="00A8"/>
            </w:r>
            <w:r>
              <w:rPr>
                <w:rFonts w:hint="eastAsia"/>
              </w:rPr>
              <w:t>安全网</w:t>
            </w:r>
          </w:p>
          <w:p w14:paraId="4A55EB37">
            <w:pPr>
              <w:pStyle w:val="183"/>
              <w:ind w:left="0" w:leftChars="0" w:firstLine="0" w:firstLineChars="0"/>
              <w:jc w:val="left"/>
              <w:rPr>
                <w:rFonts w:hint="eastAsia"/>
              </w:rPr>
            </w:pPr>
            <w:r>
              <w:rPr>
                <w:rFonts w:hint="eastAsia"/>
              </w:rPr>
              <w:sym w:font="Wingdings" w:char="00A8"/>
            </w:r>
            <w:r>
              <w:rPr>
                <w:rFonts w:hint="eastAsia"/>
              </w:rPr>
              <w:t>防护眼镜</w:t>
            </w:r>
            <w:r>
              <w:rPr>
                <w:rFonts w:hint="eastAsia"/>
              </w:rPr>
              <w:sym w:font="Wingdings" w:char="00A8"/>
            </w:r>
            <w:r>
              <w:rPr>
                <w:rFonts w:hint="eastAsia"/>
              </w:rPr>
              <w:t>焊接面罩</w:t>
            </w:r>
            <w:r>
              <w:rPr>
                <w:rFonts w:hint="eastAsia"/>
              </w:rPr>
              <w:sym w:font="Wingdings" w:char="00A8"/>
            </w:r>
            <w:r>
              <w:rPr>
                <w:rFonts w:hint="eastAsia"/>
              </w:rPr>
              <w:t>安全带</w:t>
            </w:r>
            <w:r>
              <w:rPr>
                <w:rFonts w:hint="eastAsia"/>
              </w:rPr>
              <w:sym w:font="Wingdings" w:char="00A8"/>
            </w:r>
            <w:r>
              <w:rPr>
                <w:rFonts w:hint="eastAsia"/>
              </w:rPr>
              <w:t>防尘口罩</w:t>
            </w:r>
          </w:p>
          <w:p w14:paraId="50B6FC17">
            <w:pPr>
              <w:pStyle w:val="183"/>
              <w:ind w:left="0" w:leftChars="0" w:firstLine="0" w:firstLineChars="0"/>
              <w:jc w:val="left"/>
              <w:rPr>
                <w:rFonts w:hint="eastAsia"/>
              </w:rPr>
            </w:pPr>
            <w:r>
              <w:rPr>
                <w:rFonts w:hint="eastAsia"/>
              </w:rPr>
              <w:sym w:font="Wingdings" w:char="00A8"/>
            </w:r>
            <w:r>
              <w:rPr>
                <w:rFonts w:hint="eastAsia"/>
              </w:rPr>
              <w:t>防切割手套</w:t>
            </w:r>
            <w:r>
              <w:rPr>
                <w:rFonts w:hint="eastAsia"/>
              </w:rPr>
              <w:sym w:font="Wingdings" w:char="00A8"/>
            </w:r>
            <w:r>
              <w:rPr>
                <w:rFonts w:hint="eastAsia"/>
              </w:rPr>
              <w:t>三脚架</w:t>
            </w:r>
            <w:r>
              <w:rPr>
                <w:rFonts w:hint="eastAsia"/>
              </w:rPr>
              <w:sym w:font="Wingdings" w:char="00A8"/>
            </w:r>
            <w:r>
              <w:rPr>
                <w:rFonts w:hint="eastAsia"/>
              </w:rPr>
              <w:t>电绝缘鞋</w:t>
            </w:r>
          </w:p>
          <w:p w14:paraId="22547ED4">
            <w:pPr>
              <w:pStyle w:val="183"/>
              <w:ind w:left="0" w:leftChars="0" w:firstLine="0" w:firstLineChars="0"/>
              <w:jc w:val="left"/>
              <w:rPr>
                <w:rFonts w:hint="eastAsia"/>
              </w:rPr>
            </w:pPr>
            <w:r>
              <w:rPr>
                <w:rFonts w:hint="eastAsia"/>
              </w:rPr>
              <w:sym w:font="Wingdings" w:char="00A8"/>
            </w:r>
            <w:r>
              <w:rPr>
                <w:rFonts w:hint="eastAsia"/>
              </w:rPr>
              <w:t>正压式空气呼吸器</w:t>
            </w:r>
            <w:r>
              <w:rPr>
                <w:rFonts w:hint="eastAsia"/>
              </w:rPr>
              <w:sym w:font="Wingdings" w:char="00A8"/>
            </w:r>
            <w:r>
              <w:rPr>
                <w:rFonts w:hint="eastAsia"/>
              </w:rPr>
              <w:t>防坠器</w:t>
            </w:r>
            <w:r>
              <w:rPr>
                <w:rFonts w:hint="eastAsia"/>
              </w:rPr>
              <w:sym w:font="Wingdings" w:char="00A8"/>
            </w:r>
            <w:r>
              <w:rPr>
                <w:rFonts w:hint="eastAsia"/>
              </w:rPr>
              <w:t>绝缘手套</w:t>
            </w:r>
          </w:p>
          <w:p w14:paraId="4AFF9A1D">
            <w:pPr>
              <w:pStyle w:val="183"/>
              <w:ind w:left="0" w:leftChars="0" w:firstLine="0" w:firstLineChars="0"/>
              <w:jc w:val="left"/>
            </w:pPr>
            <w:r>
              <w:rPr>
                <w:rFonts w:hint="eastAsia"/>
              </w:rPr>
              <w:sym w:font="Wingdings" w:char="00A8"/>
            </w:r>
            <w:r>
              <w:rPr>
                <w:rFonts w:hint="eastAsia"/>
              </w:rPr>
              <w:t>工作服</w:t>
            </w:r>
            <w:r>
              <w:rPr>
                <w:rFonts w:hint="eastAsia"/>
              </w:rPr>
              <w:sym w:font="Wingdings" w:char="00A8"/>
            </w:r>
            <w:r>
              <w:rPr>
                <w:rFonts w:hint="eastAsia"/>
              </w:rPr>
              <w:t>其它：</w:t>
            </w:r>
          </w:p>
        </w:tc>
      </w:tr>
      <w:tr w14:paraId="0E739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05" w:type="pct"/>
            <w:shd w:val="clear" w:color="auto" w:fill="auto"/>
            <w:vAlign w:val="center"/>
          </w:tcPr>
          <w:p w14:paraId="73F57C13">
            <w:pPr>
              <w:pStyle w:val="183"/>
              <w:ind w:left="0" w:leftChars="0" w:firstLine="0" w:firstLineChars="0"/>
              <w:jc w:val="center"/>
            </w:pPr>
            <w:r>
              <w:rPr>
                <w:rFonts w:hint="eastAsia"/>
              </w:rPr>
              <w:t>班前讲话内容</w:t>
            </w:r>
          </w:p>
        </w:tc>
        <w:tc>
          <w:tcPr>
            <w:tcW w:w="4294" w:type="pct"/>
            <w:gridSpan w:val="6"/>
            <w:shd w:val="clear" w:color="auto" w:fill="auto"/>
            <w:vAlign w:val="center"/>
          </w:tcPr>
          <w:p w14:paraId="179E5419">
            <w:pPr>
              <w:pStyle w:val="183"/>
              <w:ind w:left="0" w:leftChars="0" w:firstLine="0" w:firstLineChars="0"/>
              <w:jc w:val="left"/>
              <w:rPr>
                <w:rFonts w:hint="eastAsia"/>
              </w:rPr>
            </w:pPr>
            <w:r>
              <w:rPr>
                <w:rFonts w:hint="eastAsia"/>
              </w:rPr>
              <w:t>填写要求：</w:t>
            </w:r>
          </w:p>
          <w:p w14:paraId="2F2E8483">
            <w:pPr>
              <w:pStyle w:val="183"/>
              <w:ind w:left="0" w:leftChars="0" w:firstLine="0" w:firstLineChars="0"/>
              <w:jc w:val="left"/>
              <w:rPr>
                <w:rFonts w:hint="eastAsia"/>
              </w:rPr>
            </w:pPr>
            <w:r>
              <w:rPr>
                <w:rFonts w:hint="eastAsia"/>
              </w:rPr>
              <w:t>1、介绍现场管理人员情况，指明现场负责人、安全员身份，并提示若遇身体不适或突发状况，立即联系现场管理人员；</w:t>
            </w:r>
          </w:p>
          <w:p w14:paraId="08E039A6">
            <w:pPr>
              <w:pStyle w:val="183"/>
              <w:ind w:left="0" w:leftChars="0" w:firstLine="0" w:firstLineChars="0"/>
              <w:jc w:val="left"/>
              <w:rPr>
                <w:rFonts w:hint="eastAsia"/>
              </w:rPr>
            </w:pPr>
            <w:r>
              <w:rPr>
                <w:rFonts w:hint="eastAsia"/>
              </w:rPr>
              <w:t>2、说明天气情况，如晴天/大风/高温/降雨天气，并做出相应提示，注意高空坠物/中暑/塌陷风险；</w:t>
            </w:r>
          </w:p>
          <w:p w14:paraId="671E26B3">
            <w:pPr>
              <w:pStyle w:val="183"/>
              <w:ind w:left="0" w:leftChars="0" w:firstLine="0" w:firstLineChars="0"/>
              <w:jc w:val="left"/>
              <w:rPr>
                <w:rFonts w:hint="eastAsia"/>
              </w:rPr>
            </w:pPr>
            <w:r>
              <w:rPr>
                <w:rFonts w:hint="eastAsia"/>
              </w:rPr>
              <w:t>3、说明当日工作内容、危险作业情形并针对性做出风险提示；，如工作内容涉及围挡搭设/沟槽开挖/管道拆除/管道安装/管道焊接/沟槽回填/交通导行/搭设钢便桥等，危险作业情形涉及临边洞口/临电/动火/有限空间/吊装等，风险不限于坠落/坠物/火灾/触电/窒息等；</w:t>
            </w:r>
          </w:p>
          <w:p w14:paraId="5F5CD27A">
            <w:pPr>
              <w:pStyle w:val="183"/>
              <w:ind w:left="0" w:leftChars="0" w:firstLine="0" w:firstLineChars="0"/>
              <w:jc w:val="left"/>
              <w:rPr>
                <w:rFonts w:hint="eastAsia"/>
              </w:rPr>
            </w:pPr>
            <w:r>
              <w:rPr>
                <w:rFonts w:hint="eastAsia"/>
              </w:rPr>
              <w:t>4、若涉及多工种作业，介绍人员分工，如某某、某某某等几人负责围挡搭设、某某负责临时用电，若涉及特种作业，应指明持证操</w:t>
            </w:r>
            <w:r>
              <w:rPr>
                <w:rFonts w:hint="eastAsia"/>
                <w:highlight w:val="none"/>
              </w:rPr>
              <w:t>作人员/</w:t>
            </w:r>
            <w:r>
              <w:rPr>
                <w:rFonts w:hint="eastAsia"/>
                <w:highlight w:val="none"/>
                <w:lang w:val="en-US" w:eastAsia="zh-CN"/>
              </w:rPr>
              <w:t>动火监护</w:t>
            </w:r>
            <w:r>
              <w:rPr>
                <w:rFonts w:hint="eastAsia"/>
                <w:highlight w:val="none"/>
              </w:rPr>
              <w:t>人/有限监</w:t>
            </w:r>
            <w:r>
              <w:rPr>
                <w:rFonts w:hint="eastAsia"/>
              </w:rPr>
              <w:t>护人等职责内容；</w:t>
            </w:r>
          </w:p>
          <w:p w14:paraId="1A27BCF4">
            <w:pPr>
              <w:pStyle w:val="183"/>
              <w:ind w:left="0" w:leftChars="0" w:firstLine="0" w:firstLineChars="0"/>
              <w:jc w:val="left"/>
              <w:rPr>
                <w:rFonts w:hint="eastAsia"/>
              </w:rPr>
            </w:pPr>
            <w:r>
              <w:rPr>
                <w:rFonts w:hint="eastAsia"/>
              </w:rPr>
              <w:t>5、根据当日工作内容，逐项说明工作标准及注意事项，如有限空间</w:t>
            </w:r>
            <w:r>
              <w:rPr>
                <w:rFonts w:hint="eastAsia"/>
                <w:lang w:eastAsia="zh-CN"/>
              </w:rPr>
              <w:t>应</w:t>
            </w:r>
            <w:r>
              <w:rPr>
                <w:rFonts w:hint="eastAsia"/>
              </w:rPr>
              <w:t>严格遵守“先通风、再检测、后作业”原则，监护人持证上岗，若发生紧急情况，切勿盲目施救等；</w:t>
            </w:r>
          </w:p>
          <w:p w14:paraId="13E66BE6">
            <w:pPr>
              <w:pStyle w:val="183"/>
              <w:ind w:left="0" w:leftChars="0" w:firstLine="0" w:firstLineChars="0"/>
              <w:jc w:val="left"/>
              <w:rPr>
                <w:rFonts w:hint="eastAsia"/>
              </w:rPr>
            </w:pPr>
            <w:r>
              <w:rPr>
                <w:rFonts w:hint="eastAsia"/>
              </w:rPr>
              <w:t>6、再次强调在场施工人员注重安全、保证施工质量。</w:t>
            </w:r>
          </w:p>
          <w:p w14:paraId="6B0D2A5E">
            <w:pPr>
              <w:pStyle w:val="183"/>
              <w:ind w:left="0" w:leftChars="0" w:firstLine="0" w:firstLineChars="0"/>
              <w:jc w:val="left"/>
              <w:rPr>
                <w:rFonts w:hint="eastAsia"/>
              </w:rPr>
            </w:pPr>
          </w:p>
          <w:p w14:paraId="11AA8119">
            <w:pPr>
              <w:pStyle w:val="183"/>
              <w:ind w:left="0" w:leftChars="0" w:firstLine="0" w:firstLineChars="0"/>
              <w:jc w:val="left"/>
              <w:rPr>
                <w:rFonts w:hint="eastAsia"/>
              </w:rPr>
            </w:pPr>
          </w:p>
          <w:p w14:paraId="0231F27D">
            <w:pPr>
              <w:pStyle w:val="183"/>
              <w:ind w:left="0" w:leftChars="0" w:firstLine="0" w:firstLineChars="0"/>
              <w:jc w:val="left"/>
              <w:rPr>
                <w:rFonts w:hint="eastAsia"/>
              </w:rPr>
            </w:pPr>
          </w:p>
          <w:p w14:paraId="0925FC0D">
            <w:pPr>
              <w:pStyle w:val="183"/>
              <w:ind w:left="0" w:leftChars="0" w:firstLine="0" w:firstLineChars="0"/>
              <w:jc w:val="left"/>
              <w:rPr>
                <w:rFonts w:hint="eastAsia"/>
              </w:rPr>
            </w:pPr>
          </w:p>
          <w:p w14:paraId="6C84D73F">
            <w:pPr>
              <w:pStyle w:val="183"/>
              <w:ind w:left="0" w:leftChars="0" w:firstLine="0" w:firstLineChars="0"/>
              <w:jc w:val="left"/>
              <w:rPr>
                <w:rFonts w:hint="eastAsia"/>
              </w:rPr>
            </w:pPr>
          </w:p>
          <w:p w14:paraId="4600EEB2">
            <w:pPr>
              <w:pStyle w:val="183"/>
              <w:ind w:left="0" w:leftChars="0" w:firstLine="0" w:firstLineChars="0"/>
              <w:jc w:val="left"/>
              <w:rPr>
                <w:rFonts w:hint="eastAsia"/>
              </w:rPr>
            </w:pPr>
          </w:p>
          <w:p w14:paraId="2340DB58">
            <w:pPr>
              <w:pStyle w:val="183"/>
              <w:ind w:left="0" w:leftChars="0" w:firstLine="0" w:firstLineChars="0"/>
              <w:jc w:val="left"/>
              <w:rPr>
                <w:rFonts w:hint="eastAsia"/>
              </w:rPr>
            </w:pPr>
          </w:p>
          <w:p w14:paraId="7F1DA1CE">
            <w:pPr>
              <w:pStyle w:val="183"/>
              <w:ind w:left="0" w:leftChars="0" w:firstLine="0" w:firstLineChars="0"/>
              <w:jc w:val="left"/>
              <w:rPr>
                <w:rFonts w:hint="eastAsia"/>
              </w:rPr>
            </w:pPr>
          </w:p>
          <w:p w14:paraId="287D6E45">
            <w:pPr>
              <w:pStyle w:val="183"/>
              <w:ind w:left="0" w:leftChars="0" w:firstLine="0" w:firstLineChars="0"/>
              <w:jc w:val="left"/>
              <w:rPr>
                <w:rFonts w:hint="eastAsia"/>
              </w:rPr>
            </w:pPr>
          </w:p>
        </w:tc>
      </w:tr>
      <w:tr w14:paraId="57876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05" w:type="pct"/>
            <w:shd w:val="clear" w:color="auto" w:fill="auto"/>
            <w:vAlign w:val="center"/>
          </w:tcPr>
          <w:p w14:paraId="7895BA66">
            <w:pPr>
              <w:pStyle w:val="183"/>
              <w:ind w:left="0" w:leftChars="0" w:firstLine="0" w:firstLineChars="0"/>
              <w:jc w:val="center"/>
              <w:rPr>
                <w:rFonts w:hint="eastAsia"/>
              </w:rPr>
            </w:pPr>
            <w:r>
              <w:rPr>
                <w:rFonts w:hint="eastAsia"/>
              </w:rPr>
              <w:t>作业人员登记</w:t>
            </w:r>
          </w:p>
          <w:p w14:paraId="1F19E042">
            <w:pPr>
              <w:pStyle w:val="183"/>
              <w:ind w:left="0" w:leftChars="0" w:firstLine="0" w:firstLineChars="0"/>
              <w:jc w:val="center"/>
              <w:rPr>
                <w:rFonts w:hint="eastAsia" w:eastAsia="宋体"/>
                <w:lang w:eastAsia="zh-CN"/>
              </w:rPr>
            </w:pPr>
            <w:r>
              <w:rPr>
                <w:rFonts w:hint="eastAsia"/>
              </w:rPr>
              <w:t>（签字</w:t>
            </w:r>
            <w:r>
              <w:rPr>
                <w:rFonts w:hint="eastAsia"/>
                <w:lang w:eastAsia="zh-CN"/>
              </w:rPr>
              <w:t>）</w:t>
            </w:r>
          </w:p>
        </w:tc>
        <w:tc>
          <w:tcPr>
            <w:tcW w:w="4294" w:type="pct"/>
            <w:gridSpan w:val="6"/>
            <w:shd w:val="clear" w:color="auto" w:fill="auto"/>
            <w:vAlign w:val="center"/>
          </w:tcPr>
          <w:p w14:paraId="5227987D">
            <w:pPr>
              <w:pStyle w:val="183"/>
              <w:ind w:left="0" w:leftChars="0" w:firstLine="0" w:firstLineChars="0"/>
              <w:jc w:val="center"/>
            </w:pPr>
          </w:p>
        </w:tc>
      </w:tr>
      <w:tr w14:paraId="186F9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705" w:type="pct"/>
            <w:shd w:val="clear" w:color="auto" w:fill="auto"/>
            <w:vAlign w:val="center"/>
          </w:tcPr>
          <w:p w14:paraId="152DE304">
            <w:pPr>
              <w:pStyle w:val="183"/>
              <w:ind w:left="0" w:leftChars="0" w:firstLine="0" w:firstLineChars="0"/>
              <w:jc w:val="center"/>
              <w:rPr>
                <w:rFonts w:hint="eastAsia"/>
              </w:rPr>
            </w:pPr>
            <w:r>
              <w:rPr>
                <w:rFonts w:hint="eastAsia"/>
              </w:rPr>
              <w:t>班组长</w:t>
            </w:r>
          </w:p>
          <w:p w14:paraId="22208147">
            <w:pPr>
              <w:pStyle w:val="183"/>
              <w:ind w:left="0" w:leftChars="0" w:firstLine="0" w:firstLineChars="0"/>
              <w:jc w:val="center"/>
            </w:pPr>
            <w:r>
              <w:rPr>
                <w:rFonts w:hint="eastAsia"/>
              </w:rPr>
              <w:t>签字</w:t>
            </w:r>
          </w:p>
        </w:tc>
        <w:tc>
          <w:tcPr>
            <w:tcW w:w="4294" w:type="pct"/>
            <w:gridSpan w:val="6"/>
            <w:shd w:val="clear" w:color="auto" w:fill="auto"/>
            <w:vAlign w:val="center"/>
          </w:tcPr>
          <w:p w14:paraId="0938229D">
            <w:pPr>
              <w:pStyle w:val="183"/>
              <w:ind w:left="0" w:leftChars="0" w:firstLine="0" w:firstLineChars="0"/>
              <w:jc w:val="center"/>
            </w:pPr>
          </w:p>
        </w:tc>
      </w:tr>
      <w:tr w14:paraId="155FF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7"/>
            <w:shd w:val="clear" w:color="auto" w:fill="auto"/>
            <w:vAlign w:val="center"/>
          </w:tcPr>
          <w:p w14:paraId="76027603">
            <w:pPr>
              <w:pStyle w:val="181"/>
              <w:rPr>
                <w:rFonts w:hint="eastAsia"/>
              </w:rPr>
            </w:pPr>
            <w:r>
              <w:rPr>
                <w:rFonts w:hint="eastAsia"/>
              </w:rPr>
              <w:t>班组班前讲话记录单独组卷，每本填写完后交项目安全管理机构存档。</w:t>
            </w:r>
          </w:p>
          <w:p w14:paraId="6F56B0C9">
            <w:pPr>
              <w:pStyle w:val="181"/>
            </w:pPr>
            <w:r>
              <w:rPr>
                <w:rFonts w:hint="eastAsia"/>
              </w:rPr>
              <w:t>本表由班组长负责填写。</w:t>
            </w:r>
          </w:p>
        </w:tc>
      </w:tr>
    </w:tbl>
    <w:p w14:paraId="77F83A89">
      <w:pPr>
        <w:pStyle w:val="57"/>
        <w:ind w:firstLine="420"/>
      </w:pPr>
    </w:p>
    <w:p w14:paraId="5F6C8AF6">
      <w:pPr>
        <w:pStyle w:val="57"/>
        <w:ind w:firstLine="420"/>
        <w:sectPr>
          <w:pgSz w:w="11906" w:h="16838"/>
          <w:pgMar w:top="1928" w:right="1134" w:bottom="1134" w:left="1134" w:header="1418" w:footer="1134" w:gutter="284"/>
          <w:cols w:space="425" w:num="1"/>
          <w:formProt w:val="0"/>
          <w:docGrid w:linePitch="312" w:charSpace="0"/>
        </w:sectPr>
      </w:pPr>
    </w:p>
    <w:p w14:paraId="41EFD4C1">
      <w:pPr>
        <w:pStyle w:val="77"/>
        <w:spacing w:after="120"/>
        <w:rPr>
          <w:strike w:val="0"/>
          <w:dstrike w:val="0"/>
        </w:rPr>
      </w:pPr>
      <w:bookmarkStart w:id="88" w:name="_Toc17070"/>
      <w:r>
        <w:rPr>
          <w:strike w:val="0"/>
          <w:dstrike w:val="0"/>
        </w:rPr>
        <w:br w:type="textWrapping"/>
      </w:r>
      <w:r>
        <w:rPr>
          <w:rFonts w:hint="eastAsia"/>
          <w:strike w:val="0"/>
          <w:dstrike w:val="0"/>
        </w:rPr>
        <w:t>（资料性）</w:t>
      </w:r>
      <w:r>
        <w:rPr>
          <w:strike w:val="0"/>
          <w:dstrike w:val="0"/>
        </w:rPr>
        <w:br w:type="textWrapping"/>
      </w:r>
      <w:r>
        <w:rPr>
          <w:rFonts w:hint="eastAsia"/>
          <w:strike w:val="0"/>
          <w:dstrike w:val="0"/>
          <w:highlight w:val="none"/>
        </w:rPr>
        <w:t>九牌一图</w:t>
      </w:r>
      <w:r>
        <w:rPr>
          <w:rFonts w:hint="eastAsia"/>
          <w:strike w:val="0"/>
          <w:dstrike w:val="0"/>
          <w:highlight w:val="none"/>
          <w:lang w:val="en-US" w:eastAsia="zh-CN"/>
        </w:rPr>
        <w:t>一公告</w:t>
      </w:r>
      <w:bookmarkEnd w:id="88"/>
    </w:p>
    <w:p w14:paraId="0FE1AF3C">
      <w:pPr>
        <w:pStyle w:val="57"/>
        <w:spacing w:before="313" w:beforeLines="100" w:after="313" w:afterLines="100"/>
        <w:rPr>
          <w:rFonts w:hint="eastAsia" w:ascii="宋体" w:hAnsi="Times New Roman" w:eastAsia="宋体" w:cs="Times New Roman"/>
          <w:lang w:val="en-US" w:eastAsia="zh-CN"/>
        </w:rPr>
      </w:pPr>
      <w:r>
        <w:rPr>
          <w:rFonts w:hint="eastAsia" w:ascii="宋体" w:hAnsi="Times New Roman" w:eastAsia="宋体" w:cs="Times New Roman"/>
          <w:lang w:val="en-US" w:eastAsia="zh-CN"/>
        </w:rPr>
        <w:t>图</w:t>
      </w:r>
      <w:r>
        <w:rPr>
          <w:rFonts w:hint="eastAsia" w:cs="Times New Roman"/>
          <w:lang w:val="en-US" w:eastAsia="zh-CN"/>
        </w:rPr>
        <w:t>C</w:t>
      </w:r>
      <w:r>
        <w:rPr>
          <w:rFonts w:hint="eastAsia" w:ascii="宋体" w:hAnsi="Times New Roman" w:eastAsia="宋体" w:cs="Times New Roman"/>
          <w:lang w:val="en-US" w:eastAsia="zh-CN"/>
        </w:rPr>
        <w:t>.</w:t>
      </w:r>
      <w:r>
        <w:rPr>
          <w:rFonts w:hint="eastAsia" w:cs="Times New Roman"/>
          <w:lang w:val="en-US" w:eastAsia="zh-CN"/>
        </w:rPr>
        <w:t>1</w:t>
      </w:r>
      <w:r>
        <w:rPr>
          <w:rFonts w:hint="eastAsia" w:ascii="宋体" w:hAnsi="Times New Roman" w:eastAsia="宋体" w:cs="Times New Roman"/>
          <w:lang w:val="en-US" w:eastAsia="zh-CN"/>
        </w:rPr>
        <w:t>给出了九牌一图的</w:t>
      </w:r>
      <w:r>
        <w:rPr>
          <w:rFonts w:hint="eastAsia" w:cs="Times New Roman"/>
          <w:lang w:val="en-US" w:eastAsia="zh-CN"/>
        </w:rPr>
        <w:t>示意图</w:t>
      </w:r>
      <w:r>
        <w:rPr>
          <w:rFonts w:hint="eastAsia" w:ascii="宋体" w:hAnsi="Times New Roman" w:eastAsia="宋体" w:cs="Times New Roman"/>
          <w:lang w:val="en-US" w:eastAsia="zh-CN"/>
        </w:rPr>
        <w:t>。</w:t>
      </w:r>
    </w:p>
    <w:p w14:paraId="7A2D53EC">
      <w:pPr>
        <w:pStyle w:val="166"/>
        <w:numPr>
          <w:ilvl w:val="3"/>
          <w:numId w:val="0"/>
        </w:numPr>
        <w:jc w:val="center"/>
      </w:pPr>
      <w:r>
        <w:drawing>
          <wp:inline distT="0" distB="0" distL="0" distR="0">
            <wp:extent cx="1979930" cy="2160270"/>
            <wp:effectExtent l="9525" t="9525" r="10795" b="20955"/>
            <wp:docPr id="27" name="图片 26" descr="表格&#10;&#10;AI 生成的内容可能不正确。"/>
            <wp:cNvGraphicFramePr/>
            <a:graphic xmlns:a="http://schemas.openxmlformats.org/drawingml/2006/main">
              <a:graphicData uri="http://schemas.openxmlformats.org/drawingml/2006/picture">
                <pic:pic xmlns:pic="http://schemas.openxmlformats.org/drawingml/2006/picture">
                  <pic:nvPicPr>
                    <pic:cNvPr id="27" name="图片 26" descr="表格&#10;&#10;AI 生成的内容可能不正确。"/>
                    <pic:cNvPicPr/>
                  </pic:nvPicPr>
                  <pic:blipFill>
                    <a:blip r:embed="rId18"/>
                    <a:srcRect t="8737" r="2725" b="9078"/>
                    <a:stretch>
                      <a:fillRect/>
                    </a:stretch>
                  </pic:blipFill>
                  <pic:spPr>
                    <a:xfrm>
                      <a:off x="0" y="0"/>
                      <a:ext cx="1979930" cy="2160270"/>
                    </a:xfrm>
                    <a:prstGeom prst="rect">
                      <a:avLst/>
                    </a:prstGeom>
                    <a:ln w="6350" cmpd="sng">
                      <a:solidFill>
                        <a:schemeClr val="tx1"/>
                      </a:solidFill>
                      <a:prstDash val="solid"/>
                    </a:ln>
                  </pic:spPr>
                </pic:pic>
              </a:graphicData>
            </a:graphic>
          </wp:inline>
        </w:drawing>
      </w:r>
      <w:r>
        <w:drawing>
          <wp:inline distT="0" distB="0" distL="0" distR="0">
            <wp:extent cx="1979930" cy="2160270"/>
            <wp:effectExtent l="9525" t="9525" r="10795" b="20955"/>
            <wp:docPr id="29" name="图片 28" descr="文本&#10;&#10;AI 生成的内容可能不正确。"/>
            <wp:cNvGraphicFramePr/>
            <a:graphic xmlns:a="http://schemas.openxmlformats.org/drawingml/2006/main">
              <a:graphicData uri="http://schemas.openxmlformats.org/drawingml/2006/picture">
                <pic:pic xmlns:pic="http://schemas.openxmlformats.org/drawingml/2006/picture">
                  <pic:nvPicPr>
                    <pic:cNvPr id="29" name="图片 28" descr="文本&#10;&#10;AI 生成的内容可能不正确。"/>
                    <pic:cNvPicPr/>
                  </pic:nvPicPr>
                  <pic:blipFill>
                    <a:blip r:embed="rId19"/>
                    <a:srcRect t="11533" b="11387"/>
                    <a:stretch>
                      <a:fillRect/>
                    </a:stretch>
                  </pic:blipFill>
                  <pic:spPr>
                    <a:xfrm>
                      <a:off x="0" y="0"/>
                      <a:ext cx="1979930" cy="2160270"/>
                    </a:xfrm>
                    <a:prstGeom prst="rect">
                      <a:avLst/>
                    </a:prstGeom>
                    <a:ln w="6350" cmpd="sng">
                      <a:solidFill>
                        <a:schemeClr val="tx1"/>
                      </a:solidFill>
                      <a:prstDash val="solid"/>
                    </a:ln>
                  </pic:spPr>
                </pic:pic>
              </a:graphicData>
            </a:graphic>
          </wp:inline>
        </w:drawing>
      </w:r>
    </w:p>
    <w:p w14:paraId="11F481ED">
      <w:pPr>
        <w:pStyle w:val="166"/>
        <w:numPr>
          <w:ilvl w:val="3"/>
          <w:numId w:val="0"/>
        </w:numPr>
        <w:jc w:val="center"/>
      </w:pPr>
      <w:r>
        <w:drawing>
          <wp:inline distT="0" distB="0" distL="0" distR="0">
            <wp:extent cx="1979930" cy="2160270"/>
            <wp:effectExtent l="9525" t="9525" r="10795" b="20955"/>
            <wp:docPr id="28" name="图片 27" descr="图片包含 文本&#10;&#10;AI 生成的内容可能不正确。"/>
            <wp:cNvGraphicFramePr/>
            <a:graphic xmlns:a="http://schemas.openxmlformats.org/drawingml/2006/main">
              <a:graphicData uri="http://schemas.openxmlformats.org/drawingml/2006/picture">
                <pic:pic xmlns:pic="http://schemas.openxmlformats.org/drawingml/2006/picture">
                  <pic:nvPicPr>
                    <pic:cNvPr id="28" name="图片 27" descr="图片包含 文本&#10;&#10;AI 生成的内容可能不正确。"/>
                    <pic:cNvPicPr/>
                  </pic:nvPicPr>
                  <pic:blipFill>
                    <a:blip r:embed="rId20"/>
                    <a:srcRect t="9489" b="10146"/>
                    <a:stretch>
                      <a:fillRect/>
                    </a:stretch>
                  </pic:blipFill>
                  <pic:spPr>
                    <a:xfrm>
                      <a:off x="0" y="0"/>
                      <a:ext cx="1979930" cy="2160270"/>
                    </a:xfrm>
                    <a:prstGeom prst="rect">
                      <a:avLst/>
                    </a:prstGeom>
                    <a:ln w="6350">
                      <a:solidFill>
                        <a:schemeClr val="tx1">
                          <a:lumMod val="65000"/>
                          <a:lumOff val="35000"/>
                        </a:schemeClr>
                      </a:solidFill>
                    </a:ln>
                  </pic:spPr>
                </pic:pic>
              </a:graphicData>
            </a:graphic>
          </wp:inline>
        </w:drawing>
      </w:r>
      <w:r>
        <w:drawing>
          <wp:inline distT="0" distB="0" distL="0" distR="0">
            <wp:extent cx="1979930" cy="2160270"/>
            <wp:effectExtent l="9525" t="9525" r="10795" b="20955"/>
            <wp:docPr id="30" name="图片 29" descr="文本&#10;&#10;AI 生成的内容可能不正确。"/>
            <wp:cNvGraphicFramePr/>
            <a:graphic xmlns:a="http://schemas.openxmlformats.org/drawingml/2006/main">
              <a:graphicData uri="http://schemas.openxmlformats.org/drawingml/2006/picture">
                <pic:pic xmlns:pic="http://schemas.openxmlformats.org/drawingml/2006/picture">
                  <pic:nvPicPr>
                    <pic:cNvPr id="30" name="图片 29" descr="文本&#10;&#10;AI 生成的内容可能不正确。"/>
                    <pic:cNvPicPr/>
                  </pic:nvPicPr>
                  <pic:blipFill>
                    <a:blip r:embed="rId21"/>
                    <a:srcRect t="8686" b="10949"/>
                    <a:stretch>
                      <a:fillRect/>
                    </a:stretch>
                  </pic:blipFill>
                  <pic:spPr>
                    <a:xfrm>
                      <a:off x="0" y="0"/>
                      <a:ext cx="1979930" cy="2160270"/>
                    </a:xfrm>
                    <a:prstGeom prst="rect">
                      <a:avLst/>
                    </a:prstGeom>
                    <a:ln w="6350">
                      <a:solidFill>
                        <a:schemeClr val="tx1">
                          <a:lumMod val="65000"/>
                          <a:lumOff val="35000"/>
                        </a:schemeClr>
                      </a:solidFill>
                    </a:ln>
                  </pic:spPr>
                </pic:pic>
              </a:graphicData>
            </a:graphic>
          </wp:inline>
        </w:drawing>
      </w:r>
    </w:p>
    <w:p w14:paraId="146432C5">
      <w:pPr>
        <w:pStyle w:val="166"/>
        <w:numPr>
          <w:ilvl w:val="3"/>
          <w:numId w:val="0"/>
        </w:numPr>
        <w:jc w:val="center"/>
      </w:pPr>
      <w:r>
        <w:drawing>
          <wp:inline distT="0" distB="0" distL="0" distR="0">
            <wp:extent cx="1979930" cy="2160270"/>
            <wp:effectExtent l="9525" t="9525" r="10795" b="20955"/>
            <wp:docPr id="243672692" name="图片 5" descr="文本&#10;&#10;AI 生成的内容可能不正确。"/>
            <wp:cNvGraphicFramePr/>
            <a:graphic xmlns:a="http://schemas.openxmlformats.org/drawingml/2006/main">
              <a:graphicData uri="http://schemas.openxmlformats.org/drawingml/2006/picture">
                <pic:pic xmlns:pic="http://schemas.openxmlformats.org/drawingml/2006/picture">
                  <pic:nvPicPr>
                    <pic:cNvPr id="243672692" name="图片 5" descr="文本&#10;&#10;AI 生成的内容可能不正确。"/>
                    <pic:cNvPicPr/>
                  </pic:nvPicPr>
                  <pic:blipFill>
                    <a:blip r:embed="rId22"/>
                    <a:srcRect t="8486" b="11510"/>
                    <a:stretch>
                      <a:fillRect/>
                    </a:stretch>
                  </pic:blipFill>
                  <pic:spPr>
                    <a:xfrm>
                      <a:off x="0" y="0"/>
                      <a:ext cx="1979930" cy="2160270"/>
                    </a:xfrm>
                    <a:prstGeom prst="rect">
                      <a:avLst/>
                    </a:prstGeom>
                    <a:ln w="6350">
                      <a:solidFill>
                        <a:schemeClr val="tx1">
                          <a:lumMod val="65000"/>
                          <a:lumOff val="35000"/>
                        </a:schemeClr>
                      </a:solidFill>
                    </a:ln>
                  </pic:spPr>
                </pic:pic>
              </a:graphicData>
            </a:graphic>
          </wp:inline>
        </w:drawing>
      </w:r>
      <w:r>
        <w:drawing>
          <wp:inline distT="0" distB="0" distL="0" distR="0">
            <wp:extent cx="1979930" cy="2161540"/>
            <wp:effectExtent l="9525" t="9525" r="10795" b="19685"/>
            <wp:docPr id="394958939" name="图片 8" descr="QR 代码&#10;&#10;AI 生成的内容可能不正确。"/>
            <wp:cNvGraphicFramePr/>
            <a:graphic xmlns:a="http://schemas.openxmlformats.org/drawingml/2006/main">
              <a:graphicData uri="http://schemas.openxmlformats.org/drawingml/2006/picture">
                <pic:pic xmlns:pic="http://schemas.openxmlformats.org/drawingml/2006/picture">
                  <pic:nvPicPr>
                    <pic:cNvPr id="394958939" name="图片 8" descr="QR 代码&#10;&#10;AI 生成的内容可能不正确。"/>
                    <pic:cNvPicPr/>
                  </pic:nvPicPr>
                  <pic:blipFill>
                    <a:blip r:embed="rId23"/>
                    <a:srcRect t="8651" b="11761"/>
                    <a:stretch>
                      <a:fillRect/>
                    </a:stretch>
                  </pic:blipFill>
                  <pic:spPr>
                    <a:xfrm>
                      <a:off x="0" y="0"/>
                      <a:ext cx="1979930" cy="2161540"/>
                    </a:xfrm>
                    <a:prstGeom prst="rect">
                      <a:avLst/>
                    </a:prstGeom>
                    <a:ln w="6350">
                      <a:solidFill>
                        <a:schemeClr val="tx1">
                          <a:lumMod val="65000"/>
                          <a:lumOff val="35000"/>
                        </a:schemeClr>
                      </a:solidFill>
                    </a:ln>
                  </pic:spPr>
                </pic:pic>
              </a:graphicData>
            </a:graphic>
          </wp:inline>
        </w:drawing>
      </w:r>
    </w:p>
    <w:p w14:paraId="542FBFCC">
      <w:pPr>
        <w:pStyle w:val="115"/>
        <w:numPr>
          <w:ilvl w:val="0"/>
          <w:numId w:val="0"/>
        </w:numPr>
        <w:spacing w:before="120" w:after="120"/>
        <w:ind w:leftChars="0"/>
        <w:jc w:val="center"/>
      </w:pPr>
      <w:r>
        <w:rPr>
          <w:rFonts w:hint="eastAsia" w:hAnsi="Times New Roman" w:cs="Times New Roman"/>
          <w:lang w:val="en-US" w:eastAsia="zh-CN"/>
        </w:rPr>
        <w:t>图</w:t>
      </w:r>
      <w:r>
        <w:rPr>
          <w:rFonts w:hint="eastAsia" w:cs="Times New Roman"/>
          <w:lang w:val="en-US" w:eastAsia="zh-CN"/>
        </w:rPr>
        <w:t>C</w:t>
      </w:r>
      <w:r>
        <w:rPr>
          <w:rFonts w:hint="eastAsia" w:hAnsi="Times New Roman" w:cs="Times New Roman"/>
          <w:lang w:val="en-US" w:eastAsia="zh-CN"/>
        </w:rPr>
        <w:t>.</w:t>
      </w:r>
      <w:r>
        <w:rPr>
          <w:rFonts w:hint="eastAsia" w:cs="Times New Roman"/>
          <w:lang w:val="en-US" w:eastAsia="zh-CN"/>
        </w:rPr>
        <w:t>1</w:t>
      </w:r>
      <w:r>
        <w:rPr>
          <w:rFonts w:hint="eastAsia" w:hAnsi="Times New Roman" w:cs="Times New Roman"/>
          <w:lang w:val="en-US" w:eastAsia="zh-CN"/>
        </w:rPr>
        <w:t xml:space="preserve">  </w:t>
      </w:r>
      <w:r>
        <w:rPr>
          <w:rFonts w:hint="eastAsia" w:hAnsi="Times New Roman" w:cs="Times New Roman"/>
        </w:rPr>
        <w:t>九牌一图示意图</w:t>
      </w:r>
    </w:p>
    <w:p w14:paraId="6C6FA02D">
      <w:pPr>
        <w:pStyle w:val="163"/>
        <w:numPr>
          <w:ilvl w:val="0"/>
          <w:numId w:val="0"/>
        </w:numPr>
        <w:jc w:val="center"/>
        <w:rPr>
          <w:rFonts w:ascii="黑体" w:eastAsia="黑体"/>
        </w:rPr>
      </w:pPr>
      <w:r>
        <w:rPr>
          <w:rFonts w:ascii="黑体" w:eastAsia="黑体"/>
        </w:rPr>
        <w:drawing>
          <wp:inline distT="0" distB="0" distL="0" distR="0">
            <wp:extent cx="1979930" cy="2160270"/>
            <wp:effectExtent l="9525" t="9525" r="10795" b="20955"/>
            <wp:docPr id="11" name="图片 10" descr="图片包含 徽标&#10;&#10;AI 生成的内容可能不正确。"/>
            <wp:cNvGraphicFramePr/>
            <a:graphic xmlns:a="http://schemas.openxmlformats.org/drawingml/2006/main">
              <a:graphicData uri="http://schemas.openxmlformats.org/drawingml/2006/picture">
                <pic:pic xmlns:pic="http://schemas.openxmlformats.org/drawingml/2006/picture">
                  <pic:nvPicPr>
                    <pic:cNvPr id="11" name="图片 10" descr="图片包含 徽标&#10;&#10;AI 生成的内容可能不正确。"/>
                    <pic:cNvPicPr/>
                  </pic:nvPicPr>
                  <pic:blipFill>
                    <a:blip r:embed="rId24"/>
                    <a:srcRect t="8706" b="11815"/>
                    <a:stretch>
                      <a:fillRect/>
                    </a:stretch>
                  </pic:blipFill>
                  <pic:spPr>
                    <a:xfrm>
                      <a:off x="0" y="0"/>
                      <a:ext cx="1979930" cy="2160270"/>
                    </a:xfrm>
                    <a:prstGeom prst="rect">
                      <a:avLst/>
                    </a:prstGeom>
                    <a:ln w="6350">
                      <a:solidFill>
                        <a:schemeClr val="tx1">
                          <a:lumMod val="65000"/>
                          <a:lumOff val="35000"/>
                        </a:schemeClr>
                      </a:solidFill>
                    </a:ln>
                  </pic:spPr>
                </pic:pic>
              </a:graphicData>
            </a:graphic>
          </wp:inline>
        </w:drawing>
      </w:r>
      <w:r>
        <w:rPr>
          <w:rFonts w:ascii="黑体" w:eastAsia="黑体"/>
        </w:rPr>
        <w:drawing>
          <wp:inline distT="0" distB="0" distL="0" distR="0">
            <wp:extent cx="1979930" cy="2160270"/>
            <wp:effectExtent l="9525" t="9525" r="10795" b="20955"/>
            <wp:docPr id="12" name="图片 11" descr="图片包含 表格&#10;&#10;AI 生成的内容可能不正确。"/>
            <wp:cNvGraphicFramePr/>
            <a:graphic xmlns:a="http://schemas.openxmlformats.org/drawingml/2006/main">
              <a:graphicData uri="http://schemas.openxmlformats.org/drawingml/2006/picture">
                <pic:pic xmlns:pic="http://schemas.openxmlformats.org/drawingml/2006/picture">
                  <pic:nvPicPr>
                    <pic:cNvPr id="12" name="图片 11" descr="图片包含 表格&#10;&#10;AI 生成的内容可能不正确。"/>
                    <pic:cNvPicPr/>
                  </pic:nvPicPr>
                  <pic:blipFill>
                    <a:blip r:embed="rId25"/>
                    <a:srcRect t="8213" b="11269"/>
                    <a:stretch>
                      <a:fillRect/>
                    </a:stretch>
                  </pic:blipFill>
                  <pic:spPr>
                    <a:xfrm>
                      <a:off x="0" y="0"/>
                      <a:ext cx="1979930" cy="2160270"/>
                    </a:xfrm>
                    <a:prstGeom prst="rect">
                      <a:avLst/>
                    </a:prstGeom>
                    <a:ln w="6350">
                      <a:solidFill>
                        <a:schemeClr val="tx1">
                          <a:lumMod val="65000"/>
                          <a:lumOff val="35000"/>
                        </a:schemeClr>
                      </a:solidFill>
                    </a:ln>
                  </pic:spPr>
                </pic:pic>
              </a:graphicData>
            </a:graphic>
          </wp:inline>
        </w:drawing>
      </w:r>
    </w:p>
    <w:p w14:paraId="16659A61">
      <w:pPr>
        <w:pStyle w:val="166"/>
        <w:numPr>
          <w:ilvl w:val="3"/>
          <w:numId w:val="0"/>
        </w:numPr>
        <w:jc w:val="center"/>
      </w:pPr>
      <w:r>
        <w:drawing>
          <wp:inline distT="0" distB="0" distL="0" distR="0">
            <wp:extent cx="1979930" cy="2160270"/>
            <wp:effectExtent l="9525" t="9525" r="10795" b="20955"/>
            <wp:docPr id="726737554" name="图片 10"/>
            <wp:cNvGraphicFramePr/>
            <a:graphic xmlns:a="http://schemas.openxmlformats.org/drawingml/2006/main">
              <a:graphicData uri="http://schemas.openxmlformats.org/drawingml/2006/picture">
                <pic:pic xmlns:pic="http://schemas.openxmlformats.org/drawingml/2006/picture">
                  <pic:nvPicPr>
                    <pic:cNvPr id="726737554" name="图片 10"/>
                    <pic:cNvPicPr/>
                  </pic:nvPicPr>
                  <pic:blipFill>
                    <a:blip r:embed="rId26"/>
                    <a:srcRect t="10007" b="9346"/>
                    <a:stretch>
                      <a:fillRect/>
                    </a:stretch>
                  </pic:blipFill>
                  <pic:spPr>
                    <a:xfrm>
                      <a:off x="0" y="0"/>
                      <a:ext cx="1979930" cy="2160270"/>
                    </a:xfrm>
                    <a:prstGeom prst="rect">
                      <a:avLst/>
                    </a:prstGeom>
                    <a:ln w="6350">
                      <a:solidFill>
                        <a:schemeClr val="tx1">
                          <a:lumMod val="65000"/>
                          <a:lumOff val="35000"/>
                        </a:schemeClr>
                      </a:solidFill>
                    </a:ln>
                  </pic:spPr>
                </pic:pic>
              </a:graphicData>
            </a:graphic>
          </wp:inline>
        </w:drawing>
      </w:r>
      <w:r>
        <w:drawing>
          <wp:inline distT="0" distB="0" distL="0" distR="0">
            <wp:extent cx="1979930" cy="2160270"/>
            <wp:effectExtent l="9525" t="9525" r="10795" b="20955"/>
            <wp:docPr id="8" name="图片 7" descr="文本&#10;&#10;AI 生成的内容可能不正确。"/>
            <wp:cNvGraphicFramePr/>
            <a:graphic xmlns:a="http://schemas.openxmlformats.org/drawingml/2006/main">
              <a:graphicData uri="http://schemas.openxmlformats.org/drawingml/2006/picture">
                <pic:pic xmlns:pic="http://schemas.openxmlformats.org/drawingml/2006/picture">
                  <pic:nvPicPr>
                    <pic:cNvPr id="8" name="图片 7" descr="文本&#10;&#10;AI 生成的内容可能不正确。"/>
                    <pic:cNvPicPr/>
                  </pic:nvPicPr>
                  <pic:blipFill>
                    <a:blip r:embed="rId27"/>
                    <a:srcRect t="10009" b="14036"/>
                    <a:stretch>
                      <a:fillRect/>
                    </a:stretch>
                  </pic:blipFill>
                  <pic:spPr>
                    <a:xfrm>
                      <a:off x="0" y="0"/>
                      <a:ext cx="1979930" cy="2160270"/>
                    </a:xfrm>
                    <a:prstGeom prst="rect">
                      <a:avLst/>
                    </a:prstGeom>
                    <a:ln w="6350">
                      <a:solidFill>
                        <a:schemeClr val="tx1">
                          <a:lumMod val="65000"/>
                          <a:lumOff val="35000"/>
                        </a:schemeClr>
                      </a:solidFill>
                    </a:ln>
                  </pic:spPr>
                </pic:pic>
              </a:graphicData>
            </a:graphic>
          </wp:inline>
        </w:drawing>
      </w:r>
    </w:p>
    <w:p w14:paraId="7182FD6F">
      <w:pPr>
        <w:pStyle w:val="166"/>
        <w:numPr>
          <w:ilvl w:val="3"/>
          <w:numId w:val="0"/>
        </w:numPr>
        <w:jc w:val="center"/>
      </w:pPr>
      <w:r>
        <w:drawing>
          <wp:inline distT="0" distB="0" distL="0" distR="0">
            <wp:extent cx="1979930" cy="2160270"/>
            <wp:effectExtent l="9525" t="9525" r="10795" b="20955"/>
            <wp:docPr id="1073742854" name="图片 1073742853" descr="1757502785238"/>
            <wp:cNvGraphicFramePr/>
            <a:graphic xmlns:a="http://schemas.openxmlformats.org/drawingml/2006/main">
              <a:graphicData uri="http://schemas.openxmlformats.org/drawingml/2006/picture">
                <pic:pic xmlns:pic="http://schemas.openxmlformats.org/drawingml/2006/picture">
                  <pic:nvPicPr>
                    <pic:cNvPr id="1073742854" name="图片 1073742853" descr="1757502785238"/>
                    <pic:cNvPicPr/>
                  </pic:nvPicPr>
                  <pic:blipFill>
                    <a:blip r:embed="rId28"/>
                    <a:stretch>
                      <a:fillRect/>
                    </a:stretch>
                  </pic:blipFill>
                  <pic:spPr>
                    <a:xfrm>
                      <a:off x="0" y="0"/>
                      <a:ext cx="1979930" cy="2160270"/>
                    </a:xfrm>
                    <a:prstGeom prst="rect">
                      <a:avLst/>
                    </a:prstGeom>
                    <a:noFill/>
                    <a:ln w="6350" cmpd="sng">
                      <a:solidFill>
                        <a:schemeClr val="tx1">
                          <a:lumMod val="65000"/>
                          <a:lumOff val="35000"/>
                        </a:schemeClr>
                      </a:solidFill>
                      <a:prstDash val="solid"/>
                    </a:ln>
                  </pic:spPr>
                </pic:pic>
              </a:graphicData>
            </a:graphic>
          </wp:inline>
        </w:drawing>
      </w:r>
    </w:p>
    <w:p w14:paraId="449F6C0A">
      <w:pPr>
        <w:pStyle w:val="115"/>
        <w:numPr>
          <w:ilvl w:val="0"/>
          <w:numId w:val="0"/>
        </w:numPr>
        <w:spacing w:before="120" w:after="120"/>
        <w:ind w:leftChars="0"/>
        <w:jc w:val="center"/>
        <w:rPr>
          <w:rFonts w:hint="eastAsia" w:hAnsi="Times New Roman" w:cs="Times New Roman"/>
        </w:rPr>
      </w:pPr>
      <w:r>
        <w:rPr>
          <w:rFonts w:hint="eastAsia" w:hAnsi="Times New Roman" w:cs="Times New Roman"/>
          <w:lang w:val="en-US" w:eastAsia="zh-CN"/>
        </w:rPr>
        <w:t>图</w:t>
      </w:r>
      <w:r>
        <w:rPr>
          <w:rFonts w:hint="eastAsia" w:cs="Times New Roman"/>
          <w:lang w:val="en-US" w:eastAsia="zh-CN"/>
        </w:rPr>
        <w:t>C</w:t>
      </w:r>
      <w:r>
        <w:rPr>
          <w:rFonts w:hint="eastAsia" w:hAnsi="Times New Roman" w:cs="Times New Roman"/>
          <w:lang w:val="en-US" w:eastAsia="zh-CN"/>
        </w:rPr>
        <w:t>.</w:t>
      </w:r>
      <w:r>
        <w:rPr>
          <w:rFonts w:hint="eastAsia" w:cs="Times New Roman"/>
          <w:lang w:val="en-US" w:eastAsia="zh-CN"/>
        </w:rPr>
        <w:t>1</w:t>
      </w:r>
      <w:r>
        <w:rPr>
          <w:rFonts w:hint="eastAsia" w:hAnsi="Times New Roman" w:cs="Times New Roman"/>
          <w:lang w:val="en-US" w:eastAsia="zh-CN"/>
        </w:rPr>
        <w:t xml:space="preserve">  </w:t>
      </w:r>
      <w:r>
        <w:rPr>
          <w:rFonts w:hint="eastAsia" w:hAnsi="Times New Roman" w:cs="Times New Roman"/>
        </w:rPr>
        <w:t>九牌一图示意图</w:t>
      </w:r>
      <w:r>
        <w:rPr>
          <w:rFonts w:hint="eastAsia" w:cs="Times New Roman"/>
          <w:lang w:val="en-US" w:eastAsia="zh-CN"/>
        </w:rPr>
        <w:t>（续）</w:t>
      </w:r>
    </w:p>
    <w:p w14:paraId="3F25F8BB">
      <w:pPr>
        <w:pStyle w:val="57"/>
        <w:ind w:firstLine="420"/>
      </w:pPr>
    </w:p>
    <w:p w14:paraId="390F7251">
      <w:pPr>
        <w:pStyle w:val="57"/>
        <w:ind w:firstLine="420"/>
      </w:pPr>
    </w:p>
    <w:p w14:paraId="16E3DEF8">
      <w:pPr>
        <w:pStyle w:val="57"/>
        <w:ind w:firstLine="420"/>
        <w:sectPr>
          <w:pgSz w:w="11906" w:h="16838"/>
          <w:pgMar w:top="1928" w:right="1134" w:bottom="1134" w:left="1134" w:header="1418" w:footer="1134" w:gutter="284"/>
          <w:cols w:space="425" w:num="1"/>
          <w:formProt w:val="0"/>
          <w:docGrid w:linePitch="312" w:charSpace="0"/>
        </w:sectPr>
      </w:pPr>
    </w:p>
    <w:p w14:paraId="7818BFBA">
      <w:pPr>
        <w:pStyle w:val="77"/>
        <w:spacing w:after="120"/>
      </w:pPr>
      <w:bookmarkStart w:id="89" w:name="_Toc22856"/>
      <w:r>
        <w:br w:type="textWrapping"/>
      </w:r>
      <w:r>
        <w:rPr>
          <w:rFonts w:hint="eastAsia"/>
        </w:rPr>
        <w:t>（资料性）</w:t>
      </w:r>
      <w:r>
        <w:br w:type="textWrapping"/>
      </w:r>
      <w:r>
        <w:rPr>
          <w:rFonts w:hint="eastAsia"/>
          <w:lang w:val="en-US" w:eastAsia="zh-CN"/>
        </w:rPr>
        <w:t>常用标志标识</w:t>
      </w:r>
      <w:bookmarkEnd w:id="89"/>
    </w:p>
    <w:p w14:paraId="79D549DE">
      <w:pPr>
        <w:pStyle w:val="57"/>
        <w:spacing w:before="313" w:beforeLines="100" w:after="313" w:afterLines="100"/>
        <w:rPr>
          <w:rFonts w:hint="eastAsia"/>
          <w:lang w:eastAsia="zh-CN"/>
        </w:rPr>
      </w:pPr>
      <w:r>
        <w:rPr>
          <w:rFonts w:hint="eastAsia"/>
          <w:lang w:val="en-US" w:eastAsia="zh-CN"/>
        </w:rPr>
        <w:t>图D.1给出了常用</w:t>
      </w:r>
      <w:r>
        <w:rPr>
          <w:rFonts w:hint="eastAsia"/>
        </w:rPr>
        <w:t>禁止标志</w:t>
      </w:r>
      <w:r>
        <w:rPr>
          <w:rFonts w:hint="eastAsia"/>
          <w:lang w:val="en-US" w:eastAsia="zh-CN"/>
        </w:rPr>
        <w:t>示意图</w:t>
      </w:r>
      <w:r>
        <w:rPr>
          <w:rFonts w:hint="eastAsia"/>
          <w:lang w:eastAsia="zh-CN"/>
        </w:rPr>
        <w:t>。</w:t>
      </w:r>
    </w:p>
    <w:p w14:paraId="220068AD">
      <w:pPr>
        <w:pStyle w:val="57"/>
        <w:spacing w:before="313" w:beforeLines="100" w:after="313" w:afterLines="100"/>
        <w:rPr>
          <w:rFonts w:hint="eastAsia"/>
          <w:lang w:eastAsia="zh-CN"/>
        </w:rPr>
      </w:pPr>
      <w:r>
        <w:rPr>
          <w:rFonts w:hint="eastAsia"/>
          <w:lang w:val="en-US" w:eastAsia="zh-CN"/>
        </w:rPr>
        <w:t>图D.2给出了常用警告</w:t>
      </w:r>
      <w:r>
        <w:rPr>
          <w:rFonts w:hint="eastAsia"/>
        </w:rPr>
        <w:t>标志</w:t>
      </w:r>
      <w:r>
        <w:rPr>
          <w:rFonts w:hint="eastAsia"/>
          <w:lang w:val="en-US" w:eastAsia="zh-CN"/>
        </w:rPr>
        <w:t>示意图</w:t>
      </w:r>
      <w:r>
        <w:rPr>
          <w:rFonts w:hint="eastAsia"/>
          <w:lang w:eastAsia="zh-CN"/>
        </w:rPr>
        <w:t>。</w:t>
      </w:r>
    </w:p>
    <w:p w14:paraId="006FE203">
      <w:pPr>
        <w:pStyle w:val="57"/>
        <w:spacing w:before="313" w:beforeLines="100" w:after="313" w:afterLines="100"/>
        <w:rPr>
          <w:rFonts w:hint="eastAsia"/>
          <w:lang w:eastAsia="zh-CN"/>
        </w:rPr>
      </w:pPr>
      <w:r>
        <w:rPr>
          <w:rFonts w:hint="eastAsia"/>
          <w:lang w:val="en-US" w:eastAsia="zh-CN"/>
        </w:rPr>
        <w:t>图D.3给出了常用指令</w:t>
      </w:r>
      <w:r>
        <w:rPr>
          <w:rFonts w:hint="eastAsia"/>
        </w:rPr>
        <w:t>标志</w:t>
      </w:r>
      <w:r>
        <w:rPr>
          <w:rFonts w:hint="eastAsia"/>
          <w:lang w:val="en-US" w:eastAsia="zh-CN"/>
        </w:rPr>
        <w:t>示意图</w:t>
      </w:r>
      <w:r>
        <w:rPr>
          <w:rFonts w:hint="eastAsia"/>
          <w:lang w:eastAsia="zh-CN"/>
        </w:rPr>
        <w:t>。</w:t>
      </w:r>
    </w:p>
    <w:p w14:paraId="73E81001">
      <w:pPr>
        <w:pStyle w:val="57"/>
        <w:spacing w:before="313" w:beforeLines="100" w:after="313" w:afterLines="100"/>
        <w:rPr>
          <w:rFonts w:hint="eastAsia"/>
          <w:lang w:eastAsia="zh-CN"/>
        </w:rPr>
      </w:pPr>
      <w:r>
        <w:rPr>
          <w:rFonts w:hint="eastAsia"/>
          <w:lang w:val="en-US" w:eastAsia="zh-CN"/>
        </w:rPr>
        <w:t>图D.4给出了常用提示</w:t>
      </w:r>
      <w:r>
        <w:rPr>
          <w:rFonts w:hint="eastAsia"/>
        </w:rPr>
        <w:t>标志</w:t>
      </w:r>
      <w:r>
        <w:rPr>
          <w:rFonts w:hint="eastAsia"/>
          <w:lang w:val="en-US" w:eastAsia="zh-CN"/>
        </w:rPr>
        <w:t>示意图</w:t>
      </w:r>
      <w:r>
        <w:rPr>
          <w:rFonts w:hint="eastAsia"/>
          <w:lang w:eastAsia="zh-CN"/>
        </w:rPr>
        <w:t>。</w:t>
      </w:r>
    </w:p>
    <w:p w14:paraId="4905022D">
      <w:pPr>
        <w:pStyle w:val="165"/>
        <w:numPr>
          <w:ilvl w:val="0"/>
          <w:numId w:val="0"/>
        </w:numPr>
        <w:jc w:val="center"/>
      </w:pPr>
      <w:r>
        <w:rPr>
          <w:position w:val="-69"/>
        </w:rPr>
        <w:drawing>
          <wp:inline distT="0" distB="0" distL="0" distR="0">
            <wp:extent cx="1611630" cy="1476375"/>
            <wp:effectExtent l="0" t="0" r="7620" b="9525"/>
            <wp:docPr id="3" name="IM 28"/>
            <wp:cNvGraphicFramePr/>
            <a:graphic xmlns:a="http://schemas.openxmlformats.org/drawingml/2006/main">
              <a:graphicData uri="http://schemas.openxmlformats.org/drawingml/2006/picture">
                <pic:pic xmlns:pic="http://schemas.openxmlformats.org/drawingml/2006/picture">
                  <pic:nvPicPr>
                    <pic:cNvPr id="3" name="IM 28"/>
                    <pic:cNvPicPr/>
                  </pic:nvPicPr>
                  <pic:blipFill>
                    <a:blip r:embed="rId29"/>
                    <a:stretch>
                      <a:fillRect/>
                    </a:stretch>
                  </pic:blipFill>
                  <pic:spPr>
                    <a:xfrm>
                      <a:off x="0" y="0"/>
                      <a:ext cx="1611630" cy="1476375"/>
                    </a:xfrm>
                    <a:prstGeom prst="rect">
                      <a:avLst/>
                    </a:prstGeom>
                  </pic:spPr>
                </pic:pic>
              </a:graphicData>
            </a:graphic>
          </wp:inline>
        </w:drawing>
      </w:r>
    </w:p>
    <w:p w14:paraId="226D4C42">
      <w:pPr>
        <w:pStyle w:val="115"/>
        <w:numPr>
          <w:ilvl w:val="0"/>
          <w:numId w:val="0"/>
        </w:numPr>
        <w:spacing w:before="120" w:after="120"/>
        <w:ind w:leftChars="0"/>
        <w:jc w:val="center"/>
        <w:rPr>
          <w:rFonts w:hint="eastAsia"/>
        </w:rPr>
      </w:pPr>
      <w:r>
        <w:rPr>
          <w:rFonts w:hint="eastAsia" w:hAnsi="Times New Roman" w:cs="Times New Roman"/>
          <w:lang w:val="en-US" w:eastAsia="zh-CN"/>
        </w:rPr>
        <w:t>图</w:t>
      </w:r>
      <w:r>
        <w:rPr>
          <w:rFonts w:hint="eastAsia" w:cs="Times New Roman"/>
          <w:lang w:val="en-US" w:eastAsia="zh-CN"/>
        </w:rPr>
        <w:t>D</w:t>
      </w:r>
      <w:r>
        <w:rPr>
          <w:rFonts w:hint="eastAsia" w:hAnsi="Times New Roman" w:cs="Times New Roman"/>
          <w:lang w:val="en-US" w:eastAsia="zh-CN"/>
        </w:rPr>
        <w:t xml:space="preserve">.1  </w:t>
      </w:r>
      <w:r>
        <w:rPr>
          <w:rFonts w:hint="eastAsia"/>
        </w:rPr>
        <w:t>禁止标志</w:t>
      </w:r>
    </w:p>
    <w:p w14:paraId="08EC2FF2">
      <w:pPr>
        <w:pStyle w:val="165"/>
        <w:numPr>
          <w:ilvl w:val="0"/>
          <w:numId w:val="0"/>
        </w:numPr>
        <w:jc w:val="center"/>
      </w:pPr>
      <w:r>
        <w:rPr>
          <w:position w:val="-66"/>
        </w:rPr>
        <w:drawing>
          <wp:inline distT="0" distB="0" distL="0" distR="0">
            <wp:extent cx="2230120" cy="2104390"/>
            <wp:effectExtent l="0" t="0" r="17780" b="1016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0"/>
                    <a:stretch>
                      <a:fillRect/>
                    </a:stretch>
                  </pic:blipFill>
                  <pic:spPr>
                    <a:xfrm>
                      <a:off x="0" y="0"/>
                      <a:ext cx="2230539" cy="2104847"/>
                    </a:xfrm>
                    <a:prstGeom prst="rect">
                      <a:avLst/>
                    </a:prstGeom>
                  </pic:spPr>
                </pic:pic>
              </a:graphicData>
            </a:graphic>
          </wp:inline>
        </w:drawing>
      </w:r>
    </w:p>
    <w:p w14:paraId="5B4E4F68">
      <w:pPr>
        <w:pStyle w:val="115"/>
        <w:numPr>
          <w:ilvl w:val="0"/>
          <w:numId w:val="0"/>
        </w:numPr>
        <w:spacing w:before="120" w:after="120"/>
        <w:ind w:leftChars="0"/>
        <w:jc w:val="center"/>
        <w:rPr>
          <w:rFonts w:hint="eastAsia"/>
        </w:rPr>
      </w:pPr>
      <w:r>
        <w:rPr>
          <w:rFonts w:hint="eastAsia" w:hAnsi="Times New Roman" w:cs="Times New Roman"/>
          <w:lang w:val="en-US" w:eastAsia="zh-CN"/>
        </w:rPr>
        <w:t>图</w:t>
      </w:r>
      <w:r>
        <w:rPr>
          <w:rFonts w:hint="eastAsia" w:cs="Times New Roman"/>
          <w:lang w:val="en-US" w:eastAsia="zh-CN"/>
        </w:rPr>
        <w:t>D</w:t>
      </w:r>
      <w:r>
        <w:rPr>
          <w:rFonts w:hint="eastAsia" w:hAnsi="Times New Roman" w:cs="Times New Roman"/>
          <w:lang w:val="en-US" w:eastAsia="zh-CN"/>
        </w:rPr>
        <w:t>.</w:t>
      </w:r>
      <w:r>
        <w:rPr>
          <w:rFonts w:hint="eastAsia" w:cs="Times New Roman"/>
          <w:lang w:val="en-US" w:eastAsia="zh-CN"/>
        </w:rPr>
        <w:t>2</w:t>
      </w:r>
      <w:r>
        <w:rPr>
          <w:rFonts w:hint="eastAsia" w:hAnsi="Times New Roman" w:cs="Times New Roman"/>
          <w:lang w:val="en-US" w:eastAsia="zh-CN"/>
        </w:rPr>
        <w:t xml:space="preserve">  </w:t>
      </w:r>
      <w:r>
        <w:rPr>
          <w:rFonts w:hint="eastAsia"/>
        </w:rPr>
        <w:t>警告标志</w:t>
      </w:r>
    </w:p>
    <w:p w14:paraId="14988724">
      <w:pPr>
        <w:pStyle w:val="165"/>
        <w:numPr>
          <w:ilvl w:val="0"/>
          <w:numId w:val="0"/>
        </w:numPr>
        <w:jc w:val="center"/>
      </w:pPr>
      <w:r>
        <w:rPr>
          <w:position w:val="-60"/>
        </w:rPr>
        <w:drawing>
          <wp:inline distT="0" distB="0" distL="0" distR="0">
            <wp:extent cx="1866900" cy="1397000"/>
            <wp:effectExtent l="0" t="0" r="0" b="12700"/>
            <wp:docPr id="7" name="IM 30"/>
            <wp:cNvGraphicFramePr/>
            <a:graphic xmlns:a="http://schemas.openxmlformats.org/drawingml/2006/main">
              <a:graphicData uri="http://schemas.openxmlformats.org/drawingml/2006/picture">
                <pic:pic xmlns:pic="http://schemas.openxmlformats.org/drawingml/2006/picture">
                  <pic:nvPicPr>
                    <pic:cNvPr id="7" name="IM 30"/>
                    <pic:cNvPicPr/>
                  </pic:nvPicPr>
                  <pic:blipFill>
                    <a:blip r:embed="rId31"/>
                    <a:stretch>
                      <a:fillRect/>
                    </a:stretch>
                  </pic:blipFill>
                  <pic:spPr>
                    <a:xfrm>
                      <a:off x="0" y="0"/>
                      <a:ext cx="1866900" cy="1397000"/>
                    </a:xfrm>
                    <a:prstGeom prst="rect">
                      <a:avLst/>
                    </a:prstGeom>
                  </pic:spPr>
                </pic:pic>
              </a:graphicData>
            </a:graphic>
          </wp:inline>
        </w:drawing>
      </w:r>
    </w:p>
    <w:p w14:paraId="7DDD4DCF">
      <w:pPr>
        <w:pStyle w:val="115"/>
        <w:numPr>
          <w:ilvl w:val="0"/>
          <w:numId w:val="0"/>
        </w:numPr>
        <w:spacing w:before="120" w:after="120"/>
        <w:ind w:leftChars="0"/>
        <w:jc w:val="center"/>
        <w:rPr>
          <w:rFonts w:hint="eastAsia"/>
        </w:rPr>
      </w:pPr>
      <w:r>
        <w:rPr>
          <w:rFonts w:hint="eastAsia" w:hAnsi="Times New Roman" w:cs="Times New Roman"/>
          <w:lang w:val="en-US" w:eastAsia="zh-CN"/>
        </w:rPr>
        <w:t>图</w:t>
      </w:r>
      <w:r>
        <w:rPr>
          <w:rFonts w:hint="eastAsia" w:cs="Times New Roman"/>
          <w:lang w:val="en-US" w:eastAsia="zh-CN"/>
        </w:rPr>
        <w:t>D</w:t>
      </w:r>
      <w:r>
        <w:rPr>
          <w:rFonts w:hint="eastAsia" w:hAnsi="Times New Roman" w:cs="Times New Roman"/>
          <w:lang w:val="en-US" w:eastAsia="zh-CN"/>
        </w:rPr>
        <w:t>.</w:t>
      </w:r>
      <w:r>
        <w:rPr>
          <w:rFonts w:hint="eastAsia" w:cs="Times New Roman"/>
          <w:lang w:val="en-US" w:eastAsia="zh-CN"/>
        </w:rPr>
        <w:t>3</w:t>
      </w:r>
      <w:r>
        <w:rPr>
          <w:rFonts w:hint="eastAsia" w:hAnsi="Times New Roman" w:cs="Times New Roman"/>
          <w:lang w:val="en-US" w:eastAsia="zh-CN"/>
        </w:rPr>
        <w:t xml:space="preserve"> </w:t>
      </w:r>
      <w:r>
        <w:rPr>
          <w:rFonts w:hint="eastAsia"/>
        </w:rPr>
        <w:t>指令标志</w:t>
      </w:r>
    </w:p>
    <w:p w14:paraId="3895E28D">
      <w:pPr>
        <w:pStyle w:val="165"/>
        <w:numPr>
          <w:ilvl w:val="0"/>
          <w:numId w:val="0"/>
        </w:numPr>
        <w:jc w:val="center"/>
      </w:pPr>
      <w:r>
        <w:rPr>
          <w:position w:val="-71"/>
        </w:rPr>
        <w:drawing>
          <wp:inline distT="0" distB="0" distL="0" distR="0">
            <wp:extent cx="1228725" cy="1237615"/>
            <wp:effectExtent l="0" t="0" r="9525" b="63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2"/>
                    <a:srcRect l="10377" t="4343" r="27749" b="28536"/>
                    <a:stretch>
                      <a:fillRect/>
                    </a:stretch>
                  </pic:blipFill>
                  <pic:spPr>
                    <a:xfrm>
                      <a:off x="0" y="0"/>
                      <a:ext cx="1228725" cy="1237615"/>
                    </a:xfrm>
                    <a:prstGeom prst="rect">
                      <a:avLst/>
                    </a:prstGeom>
                  </pic:spPr>
                </pic:pic>
              </a:graphicData>
            </a:graphic>
          </wp:inline>
        </w:drawing>
      </w:r>
    </w:p>
    <w:p w14:paraId="12C9C717">
      <w:pPr>
        <w:pStyle w:val="115"/>
        <w:numPr>
          <w:ilvl w:val="0"/>
          <w:numId w:val="0"/>
        </w:numPr>
        <w:spacing w:before="120" w:after="120"/>
        <w:ind w:leftChars="0"/>
        <w:jc w:val="center"/>
        <w:rPr>
          <w:rFonts w:hint="eastAsia"/>
        </w:rPr>
      </w:pPr>
      <w:r>
        <w:rPr>
          <w:rFonts w:hint="eastAsia" w:hAnsi="Times New Roman" w:cs="Times New Roman"/>
          <w:lang w:val="en-US" w:eastAsia="zh-CN"/>
        </w:rPr>
        <w:t>图</w:t>
      </w:r>
      <w:r>
        <w:rPr>
          <w:rFonts w:hint="eastAsia" w:cs="Times New Roman"/>
          <w:lang w:val="en-US" w:eastAsia="zh-CN"/>
        </w:rPr>
        <w:t>D</w:t>
      </w:r>
      <w:r>
        <w:rPr>
          <w:rFonts w:hint="eastAsia" w:hAnsi="Times New Roman" w:cs="Times New Roman"/>
          <w:lang w:val="en-US" w:eastAsia="zh-CN"/>
        </w:rPr>
        <w:t>.</w:t>
      </w:r>
      <w:r>
        <w:rPr>
          <w:rFonts w:hint="eastAsia" w:cs="Times New Roman"/>
          <w:lang w:val="en-US" w:eastAsia="zh-CN"/>
        </w:rPr>
        <w:t>4</w:t>
      </w:r>
      <w:r>
        <w:rPr>
          <w:rFonts w:hint="eastAsia" w:hAnsi="Times New Roman" w:cs="Times New Roman"/>
          <w:lang w:val="en-US" w:eastAsia="zh-CN"/>
        </w:rPr>
        <w:t xml:space="preserve">  </w:t>
      </w:r>
      <w:r>
        <w:rPr>
          <w:rFonts w:hint="eastAsia"/>
        </w:rPr>
        <w:t>提示标志</w:t>
      </w:r>
    </w:p>
    <w:p w14:paraId="45C0D798">
      <w:pPr>
        <w:pStyle w:val="57"/>
        <w:ind w:firstLine="420"/>
      </w:pPr>
    </w:p>
    <w:p w14:paraId="177E9E0E">
      <w:pPr>
        <w:pStyle w:val="57"/>
        <w:ind w:firstLine="420"/>
      </w:pPr>
    </w:p>
    <w:p w14:paraId="7EE0D60C">
      <w:pPr>
        <w:pStyle w:val="57"/>
        <w:ind w:firstLine="420"/>
        <w:sectPr>
          <w:pgSz w:w="11906" w:h="16838"/>
          <w:pgMar w:top="1928" w:right="1134" w:bottom="1134" w:left="1134" w:header="1418" w:footer="1134" w:gutter="284"/>
          <w:cols w:space="425" w:num="1"/>
          <w:formProt w:val="0"/>
          <w:docGrid w:linePitch="312" w:charSpace="0"/>
        </w:sectPr>
      </w:pPr>
    </w:p>
    <w:p w14:paraId="6845464E">
      <w:pPr>
        <w:pStyle w:val="77"/>
        <w:spacing w:after="120"/>
      </w:pPr>
      <w:bookmarkStart w:id="90" w:name="_Toc2989"/>
      <w:r>
        <w:br w:type="textWrapping"/>
      </w:r>
      <w:r>
        <w:rPr>
          <w:rFonts w:hint="eastAsia"/>
        </w:rPr>
        <w:t>（资料性）</w:t>
      </w:r>
      <w:r>
        <w:br w:type="textWrapping"/>
      </w:r>
      <w:r>
        <w:rPr>
          <w:rFonts w:hint="eastAsia"/>
          <w:lang w:val="en-US" w:eastAsia="zh-CN"/>
        </w:rPr>
        <w:t>人员防护装备</w:t>
      </w:r>
      <w:bookmarkEnd w:id="90"/>
    </w:p>
    <w:p w14:paraId="12D1EE12">
      <w:pPr>
        <w:pStyle w:val="57"/>
        <w:spacing w:before="313" w:beforeLines="100" w:after="313" w:afterLines="100"/>
        <w:rPr>
          <w:rFonts w:hint="eastAsia"/>
          <w:strike w:val="0"/>
          <w:dstrike w:val="0"/>
          <w:highlight w:val="none"/>
          <w:lang w:eastAsia="zh-CN"/>
        </w:rPr>
      </w:pPr>
      <w:r>
        <w:rPr>
          <w:rFonts w:hint="eastAsia"/>
          <w:strike w:val="0"/>
          <w:dstrike w:val="0"/>
          <w:highlight w:val="none"/>
          <w:lang w:val="en-US" w:eastAsia="zh-CN"/>
        </w:rPr>
        <w:t>图E.1给出了安全帽及其永久标识示意图</w:t>
      </w:r>
      <w:r>
        <w:rPr>
          <w:rFonts w:hint="eastAsia"/>
          <w:strike w:val="0"/>
          <w:dstrike w:val="0"/>
          <w:highlight w:val="none"/>
          <w:lang w:eastAsia="zh-CN"/>
        </w:rPr>
        <w:t>。</w:t>
      </w:r>
    </w:p>
    <w:p w14:paraId="7E2DB3BE">
      <w:pPr>
        <w:pStyle w:val="57"/>
        <w:spacing w:before="313" w:beforeLines="100" w:after="313" w:afterLines="100"/>
        <w:rPr>
          <w:rFonts w:hint="eastAsia"/>
          <w:highlight w:val="none"/>
          <w:lang w:eastAsia="zh-CN"/>
        </w:rPr>
      </w:pPr>
      <w:r>
        <w:rPr>
          <w:rFonts w:hint="eastAsia"/>
          <w:highlight w:val="none"/>
          <w:lang w:val="en-US" w:eastAsia="zh-CN"/>
        </w:rPr>
        <w:t>图E.2给出了</w:t>
      </w:r>
      <w:r>
        <w:rPr>
          <w:rFonts w:hint="eastAsia" w:cs="Times New Roman"/>
          <w:strike w:val="0"/>
          <w:dstrike w:val="0"/>
          <w:lang w:val="en-US" w:eastAsia="zh-CN"/>
        </w:rPr>
        <w:t>五点式安全带穿戴</w:t>
      </w:r>
      <w:r>
        <w:rPr>
          <w:rFonts w:hint="eastAsia"/>
          <w:highlight w:val="none"/>
          <w:lang w:val="en-US" w:eastAsia="zh-CN"/>
        </w:rPr>
        <w:t>示意图</w:t>
      </w:r>
      <w:r>
        <w:rPr>
          <w:rFonts w:hint="eastAsia"/>
          <w:highlight w:val="none"/>
          <w:lang w:eastAsia="zh-CN"/>
        </w:rPr>
        <w:t>。</w:t>
      </w:r>
    </w:p>
    <w:p w14:paraId="1F7808CF">
      <w:pPr>
        <w:pStyle w:val="57"/>
        <w:spacing w:before="313" w:beforeLines="100" w:after="313" w:afterLines="100"/>
        <w:rPr>
          <w:rFonts w:hint="eastAsia"/>
          <w:highlight w:val="none"/>
          <w:lang w:eastAsia="zh-CN"/>
        </w:rPr>
      </w:pPr>
      <w:r>
        <w:rPr>
          <w:rFonts w:hint="eastAsia"/>
          <w:highlight w:val="none"/>
          <w:lang w:val="en-US" w:eastAsia="zh-CN"/>
        </w:rPr>
        <w:t>图E.3给出了防烫装备示意图</w:t>
      </w:r>
      <w:r>
        <w:rPr>
          <w:rFonts w:hint="eastAsia"/>
          <w:highlight w:val="none"/>
          <w:lang w:eastAsia="zh-CN"/>
        </w:rPr>
        <w:t>。</w:t>
      </w:r>
    </w:p>
    <w:p w14:paraId="040E8D42">
      <w:pPr>
        <w:pStyle w:val="166"/>
        <w:numPr>
          <w:ilvl w:val="3"/>
          <w:numId w:val="0"/>
        </w:num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792980" cy="2254885"/>
            <wp:effectExtent l="0" t="0" r="7620" b="1206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4792980" cy="2254885"/>
                    </a:xfrm>
                    <a:prstGeom prst="rect">
                      <a:avLst/>
                    </a:prstGeom>
                    <a:noFill/>
                    <a:ln w="9525">
                      <a:noFill/>
                    </a:ln>
                  </pic:spPr>
                </pic:pic>
              </a:graphicData>
            </a:graphic>
          </wp:inline>
        </w:drawing>
      </w:r>
    </w:p>
    <w:p w14:paraId="34AE1D02">
      <w:pPr>
        <w:pStyle w:val="166"/>
        <w:numPr>
          <w:ilvl w:val="3"/>
          <w:numId w:val="0"/>
        </w:num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933825" cy="1529715"/>
            <wp:effectExtent l="0" t="0" r="0" b="0"/>
            <wp:docPr id="24" name="图片 24" descr="6769ea05-72bb-40c3-ae18-7fc5ea6b9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769ea05-72bb-40c3-ae18-7fc5ea6b9ed7"/>
                    <pic:cNvPicPr>
                      <a:picLocks noChangeAspect="1"/>
                    </pic:cNvPicPr>
                  </pic:nvPicPr>
                  <pic:blipFill>
                    <a:blip r:embed="rId34"/>
                    <a:srcRect t="17188"/>
                    <a:stretch>
                      <a:fillRect/>
                    </a:stretch>
                  </pic:blipFill>
                  <pic:spPr>
                    <a:xfrm>
                      <a:off x="0" y="0"/>
                      <a:ext cx="3933825" cy="1529715"/>
                    </a:xfrm>
                    <a:prstGeom prst="rect">
                      <a:avLst/>
                    </a:prstGeom>
                  </pic:spPr>
                </pic:pic>
              </a:graphicData>
            </a:graphic>
          </wp:inline>
        </w:drawing>
      </w:r>
    </w:p>
    <w:p w14:paraId="6DA6DD9F">
      <w:pPr>
        <w:pStyle w:val="115"/>
        <w:numPr>
          <w:ilvl w:val="0"/>
          <w:numId w:val="0"/>
        </w:numPr>
        <w:spacing w:before="120" w:after="120"/>
        <w:ind w:leftChars="0"/>
        <w:jc w:val="center"/>
        <w:rPr>
          <w:rFonts w:hint="eastAsia" w:hAnsi="Times New Roman" w:eastAsia="黑体" w:cs="Times New Roman"/>
          <w:strike/>
          <w:dstrike w:val="0"/>
          <w:lang w:eastAsia="zh-CN"/>
        </w:rPr>
      </w:pPr>
      <w:r>
        <w:rPr>
          <w:rFonts w:hint="eastAsia" w:hAnsi="Times New Roman" w:cs="Times New Roman"/>
          <w:strike w:val="0"/>
          <w:dstrike w:val="0"/>
          <w:lang w:val="en-US" w:eastAsia="zh-CN"/>
        </w:rPr>
        <w:t>图</w:t>
      </w:r>
      <w:r>
        <w:rPr>
          <w:rFonts w:hint="eastAsia" w:cs="Times New Roman"/>
          <w:strike w:val="0"/>
          <w:dstrike w:val="0"/>
          <w:lang w:val="en-US" w:eastAsia="zh-CN"/>
        </w:rPr>
        <w:t>E</w:t>
      </w:r>
      <w:r>
        <w:rPr>
          <w:rFonts w:hint="eastAsia" w:hAnsi="Times New Roman" w:cs="Times New Roman"/>
          <w:strike w:val="0"/>
          <w:dstrike w:val="0"/>
          <w:lang w:val="en-US" w:eastAsia="zh-CN"/>
        </w:rPr>
        <w:t>.</w:t>
      </w:r>
      <w:r>
        <w:rPr>
          <w:rFonts w:hint="eastAsia" w:cs="Times New Roman"/>
          <w:strike w:val="0"/>
          <w:dstrike w:val="0"/>
          <w:lang w:val="en-US" w:eastAsia="zh-CN"/>
        </w:rPr>
        <w:t>1</w:t>
      </w:r>
      <w:r>
        <w:rPr>
          <w:rFonts w:hint="eastAsia" w:hAnsi="Times New Roman" w:cs="Times New Roman"/>
          <w:strike w:val="0"/>
          <w:dstrike w:val="0"/>
          <w:lang w:val="en-US" w:eastAsia="zh-CN"/>
        </w:rPr>
        <w:t xml:space="preserve">  </w:t>
      </w:r>
      <w:r>
        <w:rPr>
          <w:rFonts w:hint="eastAsia" w:cs="Times New Roman"/>
          <w:strike w:val="0"/>
          <w:dstrike w:val="0"/>
          <w:lang w:val="en-US" w:eastAsia="zh-CN"/>
        </w:rPr>
        <w:t>安全帽及其永久标识</w:t>
      </w:r>
      <w:r>
        <w:rPr>
          <w:rFonts w:hint="eastAsia"/>
          <w:strike w:val="0"/>
          <w:dstrike w:val="0"/>
        </w:rPr>
        <w:t>示意图</w:t>
      </w:r>
    </w:p>
    <w:p w14:paraId="33C8485B">
      <w:pPr>
        <w:pStyle w:val="166"/>
        <w:numPr>
          <w:ilvl w:val="3"/>
          <w:numId w:val="0"/>
        </w:numPr>
        <w:jc w:val="center"/>
        <w:rPr>
          <w:strike/>
          <w:dstrike w:val="0"/>
        </w:rPr>
      </w:pPr>
      <w:r>
        <w:rPr>
          <w:strike/>
          <w:dstrike w:val="0"/>
        </w:rPr>
        <w:drawing>
          <wp:inline distT="0" distB="0" distL="0" distR="0">
            <wp:extent cx="2160270" cy="2160270"/>
            <wp:effectExtent l="0" t="0" r="11430" b="11430"/>
            <wp:docPr id="859043627" name="图片 2"/>
            <wp:cNvGraphicFramePr/>
            <a:graphic xmlns:a="http://schemas.openxmlformats.org/drawingml/2006/main">
              <a:graphicData uri="http://schemas.openxmlformats.org/drawingml/2006/picture">
                <pic:pic xmlns:pic="http://schemas.openxmlformats.org/drawingml/2006/picture">
                  <pic:nvPicPr>
                    <pic:cNvPr id="859043627" name="图片 2"/>
                    <pic:cNvPicPr/>
                  </pic:nvPicPr>
                  <pic:blipFill>
                    <a:blip r:embed="rId35"/>
                    <a:stretch>
                      <a:fillRect/>
                    </a:stretch>
                  </pic:blipFill>
                  <pic:spPr>
                    <a:xfrm>
                      <a:off x="0" y="0"/>
                      <a:ext cx="2160270" cy="2160270"/>
                    </a:xfrm>
                    <a:prstGeom prst="rect">
                      <a:avLst/>
                    </a:prstGeom>
                  </pic:spPr>
                </pic:pic>
              </a:graphicData>
            </a:graphic>
          </wp:inline>
        </w:drawing>
      </w:r>
    </w:p>
    <w:p w14:paraId="7B4A65CA">
      <w:pPr>
        <w:pStyle w:val="115"/>
        <w:numPr>
          <w:ilvl w:val="0"/>
          <w:numId w:val="0"/>
        </w:numPr>
        <w:spacing w:before="120" w:after="120"/>
        <w:ind w:leftChars="0"/>
        <w:jc w:val="center"/>
        <w:rPr>
          <w:strike/>
          <w:dstrike w:val="0"/>
        </w:rPr>
      </w:pPr>
      <w:r>
        <w:rPr>
          <w:rFonts w:hint="eastAsia" w:hAnsi="Times New Roman" w:cs="Times New Roman"/>
          <w:strike w:val="0"/>
          <w:dstrike w:val="0"/>
          <w:lang w:val="en-US" w:eastAsia="zh-CN"/>
        </w:rPr>
        <w:t>图</w:t>
      </w:r>
      <w:r>
        <w:rPr>
          <w:rFonts w:hint="eastAsia" w:cs="Times New Roman"/>
          <w:strike w:val="0"/>
          <w:dstrike w:val="0"/>
          <w:lang w:val="en-US" w:eastAsia="zh-CN"/>
        </w:rPr>
        <w:t>E</w:t>
      </w:r>
      <w:r>
        <w:rPr>
          <w:rFonts w:hint="eastAsia" w:hAnsi="Times New Roman" w:cs="Times New Roman"/>
          <w:strike w:val="0"/>
          <w:dstrike w:val="0"/>
          <w:lang w:val="en-US" w:eastAsia="zh-CN"/>
        </w:rPr>
        <w:t>.</w:t>
      </w:r>
      <w:r>
        <w:rPr>
          <w:rFonts w:hint="eastAsia" w:cs="Times New Roman"/>
          <w:strike w:val="0"/>
          <w:dstrike w:val="0"/>
          <w:lang w:val="en-US" w:eastAsia="zh-CN"/>
        </w:rPr>
        <w:t>2</w:t>
      </w:r>
      <w:r>
        <w:rPr>
          <w:rFonts w:hint="eastAsia" w:hAnsi="Times New Roman" w:cs="Times New Roman"/>
          <w:strike w:val="0"/>
          <w:dstrike w:val="0"/>
          <w:lang w:val="en-US" w:eastAsia="zh-CN"/>
        </w:rPr>
        <w:t xml:space="preserve">  </w:t>
      </w:r>
      <w:r>
        <w:rPr>
          <w:rFonts w:hint="eastAsia" w:cs="Times New Roman"/>
          <w:strike w:val="0"/>
          <w:dstrike w:val="0"/>
          <w:lang w:val="en-US" w:eastAsia="zh-CN"/>
        </w:rPr>
        <w:t>五点式安全带穿戴</w:t>
      </w:r>
      <w:r>
        <w:rPr>
          <w:rFonts w:hint="eastAsia"/>
          <w:strike w:val="0"/>
          <w:dstrike w:val="0"/>
        </w:rPr>
        <w:t>示意图</w:t>
      </w:r>
    </w:p>
    <w:p w14:paraId="3A53DB02">
      <w:pPr>
        <w:pStyle w:val="115"/>
        <w:numPr>
          <w:ilvl w:val="0"/>
          <w:numId w:val="0"/>
        </w:numPr>
        <w:spacing w:before="120" w:after="120"/>
        <w:ind w:leftChars="0"/>
        <w:jc w:val="center"/>
        <w:rPr>
          <w:strike/>
          <w:dstrike w:val="0"/>
        </w:rPr>
      </w:pPr>
      <w:r>
        <w:rPr>
          <w:rFonts w:hint="eastAsia" w:hAnsi="Times New Roman" w:eastAsia="黑体" w:cs="Times New Roman"/>
          <w:strike/>
          <w:dstrike w:val="0"/>
          <w:lang w:eastAsia="zh-CN"/>
        </w:rPr>
        <w:drawing>
          <wp:inline distT="0" distB="0" distL="114300" distR="114300">
            <wp:extent cx="2160270" cy="1800225"/>
            <wp:effectExtent l="0" t="0" r="13335" b="9525"/>
            <wp:docPr id="10" name="图片 10" descr="防烫"/>
            <wp:cNvGraphicFramePr/>
            <a:graphic xmlns:a="http://schemas.openxmlformats.org/drawingml/2006/main">
              <a:graphicData uri="http://schemas.openxmlformats.org/drawingml/2006/picture">
                <pic:pic xmlns:pic="http://schemas.openxmlformats.org/drawingml/2006/picture">
                  <pic:nvPicPr>
                    <pic:cNvPr id="10" name="图片 10" descr="防烫"/>
                    <pic:cNvPicPr/>
                  </pic:nvPicPr>
                  <pic:blipFill>
                    <a:blip r:embed="rId36"/>
                    <a:stretch>
                      <a:fillRect/>
                    </a:stretch>
                  </pic:blipFill>
                  <pic:spPr>
                    <a:xfrm>
                      <a:off x="0" y="0"/>
                      <a:ext cx="2160270" cy="1800225"/>
                    </a:xfrm>
                    <a:prstGeom prst="rect">
                      <a:avLst/>
                    </a:prstGeom>
                  </pic:spPr>
                </pic:pic>
              </a:graphicData>
            </a:graphic>
          </wp:inline>
        </w:drawing>
      </w:r>
      <w:r>
        <w:rPr>
          <w:strike/>
          <w:dstrike w:val="0"/>
        </w:rPr>
        <w:drawing>
          <wp:inline distT="0" distB="0" distL="0" distR="0">
            <wp:extent cx="1080135" cy="1440180"/>
            <wp:effectExtent l="0" t="0" r="5715" b="7620"/>
            <wp:docPr id="435753499" name="图片 2" descr="图片包含 室内, 杯子, 咖啡, 桌子&#10;&#10;AI 生成的内容可能不正确。"/>
            <wp:cNvGraphicFramePr/>
            <a:graphic xmlns:a="http://schemas.openxmlformats.org/drawingml/2006/main">
              <a:graphicData uri="http://schemas.openxmlformats.org/drawingml/2006/picture">
                <pic:pic xmlns:pic="http://schemas.openxmlformats.org/drawingml/2006/picture">
                  <pic:nvPicPr>
                    <pic:cNvPr id="435753499" name="图片 2" descr="图片包含 室内, 杯子, 咖啡, 桌子&#10;&#10;AI 生成的内容可能不正确。"/>
                    <pic:cNvPicPr/>
                  </pic:nvPicPr>
                  <pic:blipFill>
                    <a:blip r:embed="rId37"/>
                    <a:stretch>
                      <a:fillRect/>
                    </a:stretch>
                  </pic:blipFill>
                  <pic:spPr>
                    <a:xfrm>
                      <a:off x="0" y="0"/>
                      <a:ext cx="1080135" cy="1440180"/>
                    </a:xfrm>
                    <a:prstGeom prst="rect">
                      <a:avLst/>
                    </a:prstGeom>
                  </pic:spPr>
                </pic:pic>
              </a:graphicData>
            </a:graphic>
          </wp:inline>
        </w:drawing>
      </w:r>
      <w:r>
        <w:rPr>
          <w:strike/>
          <w:dstrike w:val="0"/>
        </w:rPr>
        <w:drawing>
          <wp:inline distT="0" distB="0" distL="0" distR="0">
            <wp:extent cx="1080135" cy="1440180"/>
            <wp:effectExtent l="0" t="0" r="5715" b="7620"/>
            <wp:docPr id="287121500" name="图片 6" descr="地上穿着球鞋的脚&#10;&#10;AI 生成的内容可能不正确。"/>
            <wp:cNvGraphicFramePr/>
            <a:graphic xmlns:a="http://schemas.openxmlformats.org/drawingml/2006/main">
              <a:graphicData uri="http://schemas.openxmlformats.org/drawingml/2006/picture">
                <pic:pic xmlns:pic="http://schemas.openxmlformats.org/drawingml/2006/picture">
                  <pic:nvPicPr>
                    <pic:cNvPr id="287121500" name="图片 6" descr="地上穿着球鞋的脚&#10;&#10;AI 生成的内容可能不正确。"/>
                    <pic:cNvPicPr/>
                  </pic:nvPicPr>
                  <pic:blipFill>
                    <a:blip r:embed="rId38"/>
                    <a:stretch>
                      <a:fillRect/>
                    </a:stretch>
                  </pic:blipFill>
                  <pic:spPr>
                    <a:xfrm>
                      <a:off x="0" y="0"/>
                      <a:ext cx="1080135" cy="1440180"/>
                    </a:xfrm>
                    <a:prstGeom prst="rect">
                      <a:avLst/>
                    </a:prstGeom>
                  </pic:spPr>
                </pic:pic>
              </a:graphicData>
            </a:graphic>
          </wp:inline>
        </w:drawing>
      </w:r>
    </w:p>
    <w:p w14:paraId="277D8EE6">
      <w:pPr>
        <w:pStyle w:val="115"/>
        <w:numPr>
          <w:ilvl w:val="0"/>
          <w:numId w:val="0"/>
        </w:numPr>
        <w:spacing w:before="120" w:after="120"/>
        <w:ind w:leftChars="0"/>
        <w:jc w:val="center"/>
        <w:rPr>
          <w:strike w:val="0"/>
          <w:dstrike w:val="0"/>
        </w:rPr>
      </w:pPr>
      <w:r>
        <w:rPr>
          <w:rFonts w:hint="eastAsia" w:hAnsi="Times New Roman" w:cs="Times New Roman"/>
          <w:strike w:val="0"/>
          <w:dstrike w:val="0"/>
          <w:lang w:val="en-US" w:eastAsia="zh-CN"/>
        </w:rPr>
        <w:t>图</w:t>
      </w:r>
      <w:r>
        <w:rPr>
          <w:rFonts w:hint="eastAsia" w:cs="Times New Roman"/>
          <w:strike w:val="0"/>
          <w:dstrike w:val="0"/>
          <w:lang w:val="en-US" w:eastAsia="zh-CN"/>
        </w:rPr>
        <w:t>E</w:t>
      </w:r>
      <w:r>
        <w:rPr>
          <w:rFonts w:hint="eastAsia" w:hAnsi="Times New Roman" w:cs="Times New Roman"/>
          <w:strike w:val="0"/>
          <w:dstrike w:val="0"/>
          <w:lang w:val="en-US" w:eastAsia="zh-CN"/>
        </w:rPr>
        <w:t>.</w:t>
      </w:r>
      <w:r>
        <w:rPr>
          <w:rFonts w:hint="eastAsia" w:cs="Times New Roman"/>
          <w:strike w:val="0"/>
          <w:dstrike w:val="0"/>
          <w:lang w:val="en-US" w:eastAsia="zh-CN"/>
        </w:rPr>
        <w:t>3</w:t>
      </w:r>
      <w:r>
        <w:rPr>
          <w:rFonts w:hint="eastAsia" w:hAnsi="Times New Roman" w:cs="Times New Roman"/>
          <w:strike w:val="0"/>
          <w:dstrike w:val="0"/>
          <w:lang w:val="en-US" w:eastAsia="zh-CN"/>
        </w:rPr>
        <w:t xml:space="preserve">  </w:t>
      </w:r>
      <w:r>
        <w:rPr>
          <w:rFonts w:hint="eastAsia"/>
          <w:strike w:val="0"/>
          <w:dstrike w:val="0"/>
          <w:lang w:val="en-US" w:eastAsia="zh-CN"/>
        </w:rPr>
        <w:t>防烫装备</w:t>
      </w:r>
      <w:r>
        <w:rPr>
          <w:rFonts w:hint="eastAsia"/>
          <w:strike w:val="0"/>
          <w:dstrike w:val="0"/>
        </w:rPr>
        <w:t>示意图</w:t>
      </w:r>
    </w:p>
    <w:p w14:paraId="1A49D815">
      <w:pPr>
        <w:pStyle w:val="166"/>
        <w:numPr>
          <w:ilvl w:val="3"/>
          <w:numId w:val="0"/>
        </w:numPr>
        <w:jc w:val="center"/>
        <w:rPr>
          <w:strike/>
          <w:dstrike w:val="0"/>
        </w:rPr>
      </w:pPr>
    </w:p>
    <w:p w14:paraId="262E7DA6">
      <w:pPr>
        <w:pStyle w:val="166"/>
        <w:numPr>
          <w:ilvl w:val="3"/>
          <w:numId w:val="0"/>
        </w:numPr>
        <w:jc w:val="center"/>
      </w:pPr>
    </w:p>
    <w:p w14:paraId="63311B7F">
      <w:pPr>
        <w:pStyle w:val="57"/>
        <w:ind w:firstLine="420"/>
      </w:pPr>
    </w:p>
    <w:p w14:paraId="5C71C42A">
      <w:pPr>
        <w:pStyle w:val="57"/>
        <w:ind w:firstLine="420"/>
      </w:pPr>
    </w:p>
    <w:p w14:paraId="66CC63E9">
      <w:pPr>
        <w:pStyle w:val="57"/>
        <w:ind w:firstLine="420"/>
        <w:sectPr>
          <w:pgSz w:w="11906" w:h="16838"/>
          <w:pgMar w:top="1928" w:right="1134" w:bottom="1134" w:left="1134" w:header="1418" w:footer="1134" w:gutter="284"/>
          <w:cols w:space="425" w:num="1"/>
          <w:formProt w:val="0"/>
          <w:docGrid w:linePitch="312" w:charSpace="0"/>
        </w:sectPr>
      </w:pPr>
    </w:p>
    <w:p w14:paraId="2B9A4A7A">
      <w:pPr>
        <w:pStyle w:val="57"/>
        <w:rPr>
          <w:rFonts w:hint="eastAsia"/>
        </w:rPr>
      </w:pPr>
    </w:p>
    <w:p w14:paraId="6DF23647">
      <w:pPr>
        <w:pStyle w:val="77"/>
        <w:spacing w:after="120"/>
      </w:pPr>
      <w:bookmarkStart w:id="91" w:name="_Toc19026"/>
      <w:r>
        <w:br w:type="textWrapping"/>
      </w:r>
      <w:r>
        <w:rPr>
          <w:rFonts w:hint="eastAsia"/>
        </w:rPr>
        <w:t>（资料性）</w:t>
      </w:r>
      <w:r>
        <w:br w:type="textWrapping"/>
      </w:r>
      <w:r>
        <w:rPr>
          <w:rFonts w:hint="eastAsia"/>
          <w:lang w:val="en-US" w:eastAsia="zh-CN"/>
        </w:rPr>
        <w:t>临边防护</w:t>
      </w:r>
      <w:bookmarkEnd w:id="91"/>
    </w:p>
    <w:p w14:paraId="624C4686">
      <w:pPr>
        <w:pStyle w:val="57"/>
        <w:autoSpaceDE/>
        <w:autoSpaceDN/>
        <w:spacing w:before="313" w:beforeLines="100" w:after="313" w:afterLines="100"/>
        <w:rPr>
          <w:rFonts w:hint="eastAsia"/>
        </w:rPr>
      </w:pPr>
      <w:r>
        <w:rPr>
          <w:rFonts w:hint="eastAsia"/>
          <w:lang w:val="en-US" w:eastAsia="zh-CN"/>
        </w:rPr>
        <w:t>图F.1给出了基坑防护栏杆示意图</w:t>
      </w:r>
      <w:r>
        <w:rPr>
          <w:rFonts w:hint="eastAsia" w:hAnsi="Times New Roman"/>
          <w:lang w:eastAsia="zh-CN"/>
        </w:rPr>
        <w:t>。</w:t>
      </w:r>
    </w:p>
    <w:p w14:paraId="29A21025">
      <w:pPr>
        <w:pStyle w:val="57"/>
        <w:autoSpaceDE/>
        <w:autoSpaceDN/>
        <w:spacing w:before="313" w:beforeLines="100" w:after="313" w:afterLines="100"/>
        <w:rPr>
          <w:b/>
          <w:bCs/>
        </w:rPr>
      </w:pPr>
      <w:r>
        <w:rPr>
          <w:rFonts w:hint="eastAsia"/>
          <w:lang w:val="en-US" w:eastAsia="zh-CN"/>
        </w:rPr>
        <w:t>图F.2给出了洞口防护网示意图</w:t>
      </w:r>
      <w:r>
        <w:rPr>
          <w:rFonts w:hint="eastAsia" w:hAnsi="Times New Roman"/>
          <w:lang w:eastAsia="zh-CN"/>
        </w:rPr>
        <w:t>。</w:t>
      </w:r>
    </w:p>
    <w:p w14:paraId="41D08002">
      <w:pPr>
        <w:pStyle w:val="165"/>
        <w:numPr>
          <w:ilvl w:val="0"/>
          <w:numId w:val="0"/>
        </w:numPr>
        <w:jc w:val="center"/>
      </w:pPr>
      <w:r>
        <w:drawing>
          <wp:inline distT="0" distB="0" distL="0" distR="0">
            <wp:extent cx="4237990" cy="2710815"/>
            <wp:effectExtent l="0" t="0" r="13970" b="1905"/>
            <wp:docPr id="1175044407" name="图片 1" descr="图片包含 户外, 建筑, 马, 体育&#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4407" name="图片 1" descr="图片包含 户外, 建筑, 马, 体育&#10;&#10;AI 生成的内容可能不正确。"/>
                    <pic:cNvPicPr>
                      <a:picLocks noChangeAspect="1"/>
                    </pic:cNvPicPr>
                  </pic:nvPicPr>
                  <pic:blipFill>
                    <a:blip r:embed="rId39"/>
                    <a:stretch>
                      <a:fillRect/>
                    </a:stretch>
                  </pic:blipFill>
                  <pic:spPr>
                    <a:xfrm>
                      <a:off x="0" y="0"/>
                      <a:ext cx="4237990" cy="2710815"/>
                    </a:xfrm>
                    <a:prstGeom prst="rect">
                      <a:avLst/>
                    </a:prstGeom>
                  </pic:spPr>
                </pic:pic>
              </a:graphicData>
            </a:graphic>
          </wp:inline>
        </w:drawing>
      </w:r>
    </w:p>
    <w:p w14:paraId="2EF0167E">
      <w:pPr>
        <w:pStyle w:val="232"/>
        <w:spacing w:before="161" w:after="161"/>
        <w:rPr>
          <w:rFonts w:hint="eastAsia"/>
        </w:rPr>
      </w:pPr>
      <w:r>
        <w:rPr>
          <w:rFonts w:hint="eastAsia" w:hAnsi="黑体"/>
          <w:lang w:val="en-US" w:eastAsia="zh-CN"/>
        </w:rPr>
        <w:t>图F.1</w:t>
      </w:r>
      <w:r>
        <w:rPr>
          <w:rFonts w:hint="eastAsia"/>
        </w:rPr>
        <w:t xml:space="preserve"> </w:t>
      </w:r>
      <w:r>
        <w:rPr>
          <w:rFonts w:hint="eastAsia"/>
          <w:lang w:val="en-US" w:eastAsia="zh-CN"/>
        </w:rPr>
        <w:t xml:space="preserve"> </w:t>
      </w:r>
      <w:r>
        <w:rPr>
          <w:rFonts w:hint="eastAsia"/>
        </w:rPr>
        <w:t>基坑防护栏杆示意图</w:t>
      </w:r>
    </w:p>
    <w:p w14:paraId="354E6C7E">
      <w:pPr>
        <w:pStyle w:val="165"/>
        <w:numPr>
          <w:ilvl w:val="0"/>
          <w:numId w:val="0"/>
        </w:numPr>
        <w:jc w:val="center"/>
      </w:pPr>
      <w:r>
        <w:drawing>
          <wp:inline distT="0" distB="0" distL="0" distR="0">
            <wp:extent cx="5160010" cy="2519680"/>
            <wp:effectExtent l="0" t="0" r="6350" b="10160"/>
            <wp:docPr id="1915230106"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30106" name="图片 2" descr="图示&#10;&#10;AI 生成的内容可能不正确。"/>
                    <pic:cNvPicPr>
                      <a:picLocks noChangeAspect="1"/>
                    </pic:cNvPicPr>
                  </pic:nvPicPr>
                  <pic:blipFill>
                    <a:blip r:embed="rId40"/>
                    <a:stretch>
                      <a:fillRect/>
                    </a:stretch>
                  </pic:blipFill>
                  <pic:spPr>
                    <a:xfrm>
                      <a:off x="0" y="0"/>
                      <a:ext cx="5160010" cy="2519680"/>
                    </a:xfrm>
                    <a:prstGeom prst="rect">
                      <a:avLst/>
                    </a:prstGeom>
                  </pic:spPr>
                </pic:pic>
              </a:graphicData>
            </a:graphic>
          </wp:inline>
        </w:drawing>
      </w:r>
    </w:p>
    <w:p w14:paraId="4DA047BB">
      <w:pPr>
        <w:pStyle w:val="232"/>
        <w:spacing w:before="161" w:after="161"/>
        <w:rPr>
          <w:rFonts w:hint="eastAsia" w:eastAsia="黑体"/>
          <w:lang w:eastAsia="zh-CN"/>
        </w:rPr>
      </w:pPr>
      <w:r>
        <w:rPr>
          <w:rFonts w:hint="eastAsia" w:hAnsi="黑体"/>
          <w:lang w:val="en-US" w:eastAsia="zh-CN"/>
        </w:rPr>
        <w:t>图F.2</w:t>
      </w:r>
      <w:r>
        <w:rPr>
          <w:rFonts w:hint="eastAsia"/>
        </w:rPr>
        <w:t xml:space="preserve"> </w:t>
      </w:r>
      <w:r>
        <w:rPr>
          <w:rFonts w:hint="eastAsia"/>
          <w:lang w:val="en-US" w:eastAsia="zh-CN"/>
        </w:rPr>
        <w:t xml:space="preserve"> </w:t>
      </w:r>
      <w:r>
        <w:rPr>
          <w:rFonts w:hint="eastAsia"/>
        </w:rPr>
        <w:t>洞口防护网</w:t>
      </w:r>
      <w:r>
        <w:rPr>
          <w:rFonts w:hint="eastAsia" w:hAnsi="黑体" w:cs="Times New Roman"/>
        </w:rPr>
        <w:t>示意图</w:t>
      </w:r>
    </w:p>
    <w:p w14:paraId="72E625B2">
      <w:pPr>
        <w:pStyle w:val="57"/>
        <w:ind w:firstLine="420"/>
      </w:pPr>
    </w:p>
    <w:p w14:paraId="39D27D33">
      <w:pPr>
        <w:pStyle w:val="57"/>
        <w:ind w:firstLine="420"/>
      </w:pPr>
    </w:p>
    <w:p w14:paraId="4D1ECD9B">
      <w:pPr>
        <w:pStyle w:val="57"/>
        <w:ind w:firstLine="420"/>
        <w:sectPr>
          <w:pgSz w:w="11906" w:h="16838"/>
          <w:pgMar w:top="1928" w:right="1134" w:bottom="1134" w:left="1134" w:header="1418" w:footer="1134" w:gutter="284"/>
          <w:cols w:space="425" w:num="1"/>
          <w:formProt w:val="0"/>
          <w:docGrid w:linePitch="312" w:charSpace="0"/>
        </w:sectPr>
      </w:pPr>
    </w:p>
    <w:p w14:paraId="0BFFB150">
      <w:pPr>
        <w:pStyle w:val="77"/>
        <w:spacing w:after="120"/>
      </w:pPr>
      <w:bookmarkStart w:id="92" w:name="_Toc9106"/>
      <w:r>
        <w:br w:type="textWrapping"/>
      </w:r>
      <w:r>
        <w:rPr>
          <w:rFonts w:hint="eastAsia"/>
        </w:rPr>
        <w:t>（资料性）</w:t>
      </w:r>
      <w:r>
        <w:br w:type="textWrapping"/>
      </w:r>
      <w:r>
        <w:rPr>
          <w:rFonts w:hint="eastAsia"/>
          <w:lang w:val="en-US" w:eastAsia="zh-CN"/>
        </w:rPr>
        <w:t>消防防护</w:t>
      </w:r>
      <w:bookmarkEnd w:id="92"/>
    </w:p>
    <w:p w14:paraId="7EAD39BD">
      <w:pPr>
        <w:pStyle w:val="57"/>
        <w:autoSpaceDE/>
        <w:autoSpaceDN/>
        <w:spacing w:before="313" w:beforeLines="100" w:after="313" w:afterLines="100"/>
      </w:pPr>
      <w:r>
        <w:rPr>
          <w:rFonts w:hint="eastAsia"/>
          <w:lang w:val="en-US" w:eastAsia="zh-CN"/>
        </w:rPr>
        <w:t>图G.1给出了消防设施码放示意图</w:t>
      </w:r>
      <w:r>
        <w:rPr>
          <w:rFonts w:hint="eastAsia" w:hAnsi="Times New Roman"/>
          <w:lang w:eastAsia="zh-CN"/>
        </w:rPr>
        <w:t>。</w:t>
      </w:r>
    </w:p>
    <w:p w14:paraId="7CDF0057">
      <w:pPr>
        <w:pStyle w:val="165"/>
        <w:numPr>
          <w:ilvl w:val="0"/>
          <w:numId w:val="0"/>
        </w:numPr>
        <w:jc w:val="center"/>
        <w:rPr>
          <w:rFonts w:hint="eastAsia" w:eastAsia="宋体"/>
          <w:lang w:eastAsia="zh-CN"/>
        </w:rPr>
      </w:pPr>
      <w:r>
        <w:rPr>
          <w:rFonts w:hint="eastAsia" w:eastAsia="宋体"/>
          <w:lang w:eastAsia="zh-CN"/>
        </w:rPr>
        <w:drawing>
          <wp:inline distT="0" distB="0" distL="114300" distR="114300">
            <wp:extent cx="4524375" cy="2543175"/>
            <wp:effectExtent l="0" t="0" r="9525" b="9525"/>
            <wp:docPr id="13" name="图片 13" descr="dba90b44-6cff-4bcf-8e23-4d7d112a5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ba90b44-6cff-4bcf-8e23-4d7d112a5a41"/>
                    <pic:cNvPicPr>
                      <a:picLocks noChangeAspect="1"/>
                    </pic:cNvPicPr>
                  </pic:nvPicPr>
                  <pic:blipFill>
                    <a:blip r:embed="rId41"/>
                    <a:stretch>
                      <a:fillRect/>
                    </a:stretch>
                  </pic:blipFill>
                  <pic:spPr>
                    <a:xfrm>
                      <a:off x="0" y="0"/>
                      <a:ext cx="4524375" cy="2543175"/>
                    </a:xfrm>
                    <a:prstGeom prst="rect">
                      <a:avLst/>
                    </a:prstGeom>
                  </pic:spPr>
                </pic:pic>
              </a:graphicData>
            </a:graphic>
          </wp:inline>
        </w:drawing>
      </w:r>
    </w:p>
    <w:p w14:paraId="0339CA6C">
      <w:pPr>
        <w:pStyle w:val="232"/>
        <w:spacing w:before="161" w:after="161"/>
        <w:rPr>
          <w:rFonts w:hint="default" w:eastAsia="黑体"/>
          <w:lang w:val="en-US" w:eastAsia="zh-CN"/>
        </w:rPr>
      </w:pPr>
      <w:r>
        <w:rPr>
          <w:rFonts w:hint="eastAsia" w:hAnsi="黑体"/>
          <w:lang w:val="en-US" w:eastAsia="zh-CN"/>
        </w:rPr>
        <w:t>图G.1</w:t>
      </w:r>
      <w:r>
        <w:rPr>
          <w:rFonts w:hint="eastAsia"/>
        </w:rPr>
        <w:t xml:space="preserve"> </w:t>
      </w:r>
      <w:r>
        <w:rPr>
          <w:rFonts w:hint="eastAsia"/>
          <w:lang w:val="en-US" w:eastAsia="zh-CN"/>
        </w:rPr>
        <w:t xml:space="preserve"> 消防</w:t>
      </w:r>
      <w:r>
        <w:rPr>
          <w:rFonts w:hint="eastAsia"/>
        </w:rPr>
        <w:t>设施</w:t>
      </w:r>
      <w:r>
        <w:rPr>
          <w:rFonts w:hint="eastAsia"/>
          <w:lang w:val="en-US" w:eastAsia="zh-CN"/>
        </w:rPr>
        <w:t>码放</w:t>
      </w:r>
      <w:r>
        <w:rPr>
          <w:rFonts w:hint="eastAsia"/>
        </w:rPr>
        <w:t>示意图</w:t>
      </w:r>
    </w:p>
    <w:p w14:paraId="22DD968E">
      <w:pPr>
        <w:pStyle w:val="57"/>
        <w:ind w:firstLine="420"/>
      </w:pPr>
    </w:p>
    <w:p w14:paraId="783D5E1F">
      <w:pPr>
        <w:pStyle w:val="57"/>
        <w:ind w:firstLine="420"/>
      </w:pPr>
    </w:p>
    <w:p w14:paraId="24C39F1D">
      <w:pPr>
        <w:pStyle w:val="57"/>
        <w:ind w:firstLine="420"/>
        <w:sectPr>
          <w:pgSz w:w="11906" w:h="16838"/>
          <w:pgMar w:top="1928" w:right="1134" w:bottom="1134" w:left="1134" w:header="1418" w:footer="1134" w:gutter="284"/>
          <w:cols w:space="425" w:num="1"/>
          <w:formProt w:val="0"/>
          <w:docGrid w:linePitch="312" w:charSpace="0"/>
        </w:sectPr>
      </w:pPr>
    </w:p>
    <w:p w14:paraId="419D45CA">
      <w:pPr>
        <w:pStyle w:val="77"/>
        <w:spacing w:after="120"/>
      </w:pPr>
      <w:bookmarkStart w:id="93" w:name="_Toc21559"/>
      <w:r>
        <w:br w:type="textWrapping"/>
      </w:r>
      <w:r>
        <w:rPr>
          <w:rFonts w:hint="eastAsia"/>
        </w:rPr>
        <w:t>（资料性）</w:t>
      </w:r>
      <w:r>
        <w:br w:type="textWrapping"/>
      </w:r>
      <w:r>
        <w:rPr>
          <w:rFonts w:hint="eastAsia"/>
          <w:lang w:val="en-US" w:eastAsia="zh-CN"/>
        </w:rPr>
        <w:t>汛期防护</w:t>
      </w:r>
      <w:bookmarkEnd w:id="93"/>
    </w:p>
    <w:p w14:paraId="06C40F67">
      <w:pPr>
        <w:pStyle w:val="57"/>
        <w:autoSpaceDE/>
        <w:autoSpaceDN/>
        <w:spacing w:before="313" w:beforeLines="100" w:after="313" w:afterLines="100"/>
      </w:pPr>
      <w:r>
        <w:rPr>
          <w:rFonts w:hint="eastAsia"/>
          <w:lang w:val="en-US" w:eastAsia="zh-CN"/>
        </w:rPr>
        <w:t>图H.1给出了防汛作业示意图</w:t>
      </w:r>
      <w:r>
        <w:rPr>
          <w:rFonts w:hint="eastAsia" w:hAnsi="Times New Roman"/>
          <w:lang w:eastAsia="zh-CN"/>
        </w:rPr>
        <w:t>。</w:t>
      </w:r>
    </w:p>
    <w:p w14:paraId="6ECAFC82">
      <w:pPr>
        <w:pStyle w:val="115"/>
        <w:numPr>
          <w:ilvl w:val="0"/>
          <w:numId w:val="0"/>
        </w:numPr>
        <w:spacing w:before="120" w:after="120"/>
        <w:ind w:leftChars="0"/>
        <w:rPr>
          <w:rFonts w:hint="eastAsia"/>
        </w:rPr>
      </w:pPr>
      <w:r>
        <w:rPr>
          <w:rFonts w:hint="eastAsia"/>
        </w:rPr>
        <w:drawing>
          <wp:inline distT="0" distB="0" distL="0" distR="0">
            <wp:extent cx="2770505" cy="2066290"/>
            <wp:effectExtent l="0" t="0" r="10795" b="10160"/>
            <wp:docPr id="1422367163" name="图片 2" descr="架子上放满了不同类型的玩具&#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7163" name="图片 2" descr="架子上放满了不同类型的玩具&#10;&#10;AI 生成的内容可能不正确。"/>
                    <pic:cNvPicPr>
                      <a:picLocks noChangeAspect="1"/>
                    </pic:cNvPicPr>
                  </pic:nvPicPr>
                  <pic:blipFill>
                    <a:blip r:embed="rId42"/>
                    <a:stretch>
                      <a:fillRect/>
                    </a:stretch>
                  </pic:blipFill>
                  <pic:spPr>
                    <a:xfrm>
                      <a:off x="0" y="0"/>
                      <a:ext cx="2770505" cy="2066290"/>
                    </a:xfrm>
                    <a:prstGeom prst="rect">
                      <a:avLst/>
                    </a:prstGeom>
                  </pic:spPr>
                </pic:pic>
              </a:graphicData>
            </a:graphic>
          </wp:inline>
        </w:drawing>
      </w:r>
      <w:r>
        <w:rPr>
          <w:rFonts w:hint="eastAsia"/>
        </w:rPr>
        <w:drawing>
          <wp:inline distT="0" distB="0" distL="0" distR="0">
            <wp:extent cx="2947670" cy="2023110"/>
            <wp:effectExtent l="0" t="0" r="5080" b="15240"/>
            <wp:docPr id="1693080988" name="图片 5"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80988" name="图片 5" descr="文本&#10;&#10;AI 生成的内容可能不正确。"/>
                    <pic:cNvPicPr>
                      <a:picLocks noChangeAspect="1"/>
                    </pic:cNvPicPr>
                  </pic:nvPicPr>
                  <pic:blipFill>
                    <a:blip r:embed="rId43"/>
                    <a:stretch>
                      <a:fillRect/>
                    </a:stretch>
                  </pic:blipFill>
                  <pic:spPr>
                    <a:xfrm>
                      <a:off x="0" y="0"/>
                      <a:ext cx="2947670" cy="2023110"/>
                    </a:xfrm>
                    <a:prstGeom prst="rect">
                      <a:avLst/>
                    </a:prstGeom>
                  </pic:spPr>
                </pic:pic>
              </a:graphicData>
            </a:graphic>
          </wp:inline>
        </w:drawing>
      </w:r>
    </w:p>
    <w:p w14:paraId="56C5112E">
      <w:pPr>
        <w:pStyle w:val="232"/>
        <w:spacing w:before="161" w:after="161"/>
        <w:rPr>
          <w:rFonts w:hint="eastAsia" w:hAnsi="黑体" w:cs="Times New Roman"/>
        </w:rPr>
      </w:pPr>
      <w:r>
        <w:rPr>
          <w:rFonts w:hint="eastAsia" w:hAnsi="黑体"/>
          <w:lang w:val="en-US" w:eastAsia="zh-CN"/>
        </w:rPr>
        <w:t>图H.1</w:t>
      </w:r>
      <w:r>
        <w:rPr>
          <w:rFonts w:hint="eastAsia"/>
        </w:rPr>
        <w:t xml:space="preserve"> </w:t>
      </w:r>
      <w:r>
        <w:rPr>
          <w:rFonts w:hint="eastAsia"/>
          <w:lang w:val="en-US" w:eastAsia="zh-CN"/>
        </w:rPr>
        <w:t xml:space="preserve"> </w:t>
      </w:r>
      <w:r>
        <w:rPr>
          <w:rFonts w:hint="eastAsia" w:hAnsi="黑体" w:cs="Times New Roman"/>
        </w:rPr>
        <w:t>防汛设施示意图</w:t>
      </w:r>
    </w:p>
    <w:p w14:paraId="00FE776A">
      <w:pPr>
        <w:pStyle w:val="57"/>
      </w:pPr>
    </w:p>
    <w:p w14:paraId="781F71C8">
      <w:pPr>
        <w:pStyle w:val="57"/>
        <w:ind w:firstLine="420"/>
        <w:sectPr>
          <w:pgSz w:w="11906" w:h="16838"/>
          <w:pgMar w:top="1928" w:right="1134" w:bottom="1134" w:left="1134" w:header="1418" w:footer="1134" w:gutter="284"/>
          <w:cols w:space="425" w:num="1"/>
          <w:formProt w:val="0"/>
          <w:docGrid w:linePitch="312" w:charSpace="0"/>
        </w:sectPr>
      </w:pPr>
    </w:p>
    <w:p w14:paraId="3A31B1CD">
      <w:pPr>
        <w:pStyle w:val="77"/>
        <w:spacing w:after="120"/>
      </w:pPr>
      <w:bookmarkStart w:id="94" w:name="_Toc22858"/>
      <w:r>
        <w:br w:type="textWrapping"/>
      </w:r>
      <w:r>
        <w:rPr>
          <w:rFonts w:hint="eastAsia"/>
        </w:rPr>
        <w:t>（资料性）</w:t>
      </w:r>
      <w:r>
        <w:br w:type="textWrapping"/>
      </w:r>
      <w:r>
        <w:rPr>
          <w:rFonts w:hint="eastAsia"/>
          <w:lang w:val="en-US" w:eastAsia="zh-CN"/>
        </w:rPr>
        <w:t>钢便桥防护</w:t>
      </w:r>
      <w:bookmarkEnd w:id="94"/>
    </w:p>
    <w:p w14:paraId="0C4A35A0">
      <w:pPr>
        <w:pStyle w:val="57"/>
        <w:autoSpaceDE/>
        <w:autoSpaceDN/>
        <w:spacing w:before="313" w:beforeLines="100" w:after="313" w:afterLines="100"/>
        <w:rPr>
          <w:rFonts w:hint="default" w:hAnsi="Times New Roman"/>
          <w:lang w:val="en-US" w:eastAsia="zh-CN"/>
        </w:rPr>
      </w:pPr>
      <w:r>
        <w:rPr>
          <w:rFonts w:hint="eastAsia"/>
          <w:lang w:val="en-US" w:eastAsia="zh-CN"/>
        </w:rPr>
        <w:t>图I.1给出了钢便桥示意图</w:t>
      </w:r>
      <w:r>
        <w:rPr>
          <w:rFonts w:hint="eastAsia" w:hAnsi="Times New Roman"/>
          <w:lang w:eastAsia="zh-CN"/>
        </w:rPr>
        <w:t>。</w:t>
      </w:r>
    </w:p>
    <w:p w14:paraId="33AB3E85">
      <w:pPr>
        <w:pStyle w:val="165"/>
        <w:numPr>
          <w:ilvl w:val="0"/>
          <w:numId w:val="0"/>
        </w:numPr>
        <w:jc w:val="center"/>
        <w:rPr>
          <w:rFonts w:hint="eastAsia" w:eastAsia="宋体"/>
          <w:lang w:eastAsia="zh-CN"/>
        </w:rPr>
      </w:pPr>
      <w:r>
        <w:rPr>
          <w:rFonts w:hint="eastAsia" w:eastAsia="宋体"/>
          <w:lang w:eastAsia="zh-CN"/>
        </w:rPr>
        <w:drawing>
          <wp:inline distT="0" distB="0" distL="114300" distR="114300">
            <wp:extent cx="5937885" cy="3137535"/>
            <wp:effectExtent l="0" t="0" r="5715" b="5715"/>
            <wp:docPr id="21" name="图片 21" descr="280f2ff2-521e-499c-bb64-2b2b5f711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80f2ff2-521e-499c-bb64-2b2b5f71165b"/>
                    <pic:cNvPicPr>
                      <a:picLocks noChangeAspect="1"/>
                    </pic:cNvPicPr>
                  </pic:nvPicPr>
                  <pic:blipFill>
                    <a:blip r:embed="rId44"/>
                    <a:stretch>
                      <a:fillRect/>
                    </a:stretch>
                  </pic:blipFill>
                  <pic:spPr>
                    <a:xfrm>
                      <a:off x="0" y="0"/>
                      <a:ext cx="5937885" cy="3137535"/>
                    </a:xfrm>
                    <a:prstGeom prst="rect">
                      <a:avLst/>
                    </a:prstGeom>
                  </pic:spPr>
                </pic:pic>
              </a:graphicData>
            </a:graphic>
          </wp:inline>
        </w:drawing>
      </w:r>
    </w:p>
    <w:p w14:paraId="7BCE748A">
      <w:pPr>
        <w:pStyle w:val="232"/>
        <w:spacing w:before="161" w:after="161"/>
        <w:rPr>
          <w:rFonts w:hint="eastAsia" w:hAnsi="黑体" w:cs="Times New Roman"/>
        </w:rPr>
      </w:pPr>
      <w:r>
        <w:rPr>
          <w:rFonts w:hint="eastAsia" w:hAnsi="黑体"/>
        </w:rPr>
        <w:t>表</w:t>
      </w:r>
      <w:r>
        <w:rPr>
          <w:rFonts w:hint="eastAsia" w:hAnsi="黑体"/>
          <w:lang w:val="en-US" w:eastAsia="zh-CN"/>
        </w:rPr>
        <w:t>I.1</w:t>
      </w:r>
      <w:r>
        <w:rPr>
          <w:rFonts w:hint="eastAsia"/>
        </w:rPr>
        <w:t xml:space="preserve"> </w:t>
      </w:r>
      <w:r>
        <w:rPr>
          <w:rFonts w:hint="eastAsia"/>
          <w:lang w:val="en-US" w:eastAsia="zh-CN"/>
        </w:rPr>
        <w:t xml:space="preserve"> </w:t>
      </w:r>
      <w:r>
        <w:rPr>
          <w:rFonts w:hint="eastAsia" w:hAnsi="黑体" w:cs="Times New Roman"/>
        </w:rPr>
        <w:t>钢便桥示意图</w:t>
      </w:r>
    </w:p>
    <w:p w14:paraId="1772C7FE">
      <w:pPr>
        <w:pStyle w:val="57"/>
        <w:autoSpaceDE/>
        <w:autoSpaceDN/>
        <w:spacing w:before="313" w:beforeLines="100" w:after="313" w:afterLines="100"/>
        <w:rPr>
          <w:rFonts w:hint="default"/>
          <w:lang w:val="en-US" w:eastAsia="zh-CN"/>
        </w:rPr>
      </w:pPr>
      <w:r>
        <w:rPr>
          <w:rFonts w:hint="eastAsia"/>
          <w:lang w:val="en-US" w:eastAsia="zh-CN"/>
        </w:rPr>
        <w:t>注：图示为示意，参数以实际设计为准。</w:t>
      </w:r>
    </w:p>
    <w:p w14:paraId="5703F3BF">
      <w:pPr>
        <w:pStyle w:val="57"/>
        <w:ind w:firstLine="420"/>
      </w:pPr>
    </w:p>
    <w:p w14:paraId="2436E943">
      <w:pPr>
        <w:pStyle w:val="57"/>
        <w:ind w:firstLine="420"/>
      </w:pPr>
    </w:p>
    <w:p w14:paraId="6FFA0630">
      <w:pPr>
        <w:pStyle w:val="57"/>
        <w:ind w:firstLine="420"/>
      </w:pPr>
    </w:p>
    <w:p w14:paraId="27BEC7C1">
      <w:pPr>
        <w:pStyle w:val="57"/>
        <w:ind w:firstLine="420"/>
        <w:sectPr>
          <w:pgSz w:w="11906" w:h="16838"/>
          <w:pgMar w:top="1928" w:right="1134" w:bottom="1134" w:left="1134" w:header="1418" w:footer="1134" w:gutter="284"/>
          <w:cols w:space="425" w:num="1"/>
          <w:formProt w:val="0"/>
          <w:docGrid w:linePitch="312" w:charSpace="0"/>
        </w:sectPr>
      </w:pPr>
    </w:p>
    <w:p w14:paraId="1A7677D0">
      <w:pPr>
        <w:pStyle w:val="77"/>
        <w:spacing w:after="120"/>
      </w:pPr>
      <w:bookmarkStart w:id="95" w:name="_Toc24703"/>
      <w:r>
        <w:br w:type="textWrapping"/>
      </w:r>
      <w:r>
        <w:rPr>
          <w:rFonts w:hint="eastAsia"/>
        </w:rPr>
        <w:t>（资料性）</w:t>
      </w:r>
      <w:r>
        <w:br w:type="textWrapping"/>
      </w:r>
      <w:r>
        <w:rPr>
          <w:rFonts w:hint="eastAsia"/>
          <w:lang w:val="en-US" w:eastAsia="zh-CN"/>
        </w:rPr>
        <w:t>移动式防尘防噪</w:t>
      </w:r>
      <w:bookmarkEnd w:id="95"/>
    </w:p>
    <w:p w14:paraId="371AB617">
      <w:pPr>
        <w:pStyle w:val="57"/>
        <w:autoSpaceDE/>
        <w:autoSpaceDN/>
        <w:spacing w:before="313" w:beforeLines="100" w:after="313" w:afterLines="100"/>
        <w:rPr>
          <w:rFonts w:hint="eastAsia"/>
          <w:lang w:eastAsia="zh-CN"/>
        </w:rPr>
      </w:pPr>
      <w:r>
        <w:rPr>
          <w:rFonts w:hint="eastAsia"/>
          <w:lang w:val="en-US" w:eastAsia="zh-CN"/>
        </w:rPr>
        <w:t>图J.1给出了移动式防尘防噪示意图</w:t>
      </w:r>
      <w:r>
        <w:rPr>
          <w:rFonts w:hint="eastAsia" w:hAnsi="Times New Roman"/>
          <w:lang w:eastAsia="zh-CN"/>
        </w:rPr>
        <w:t>。</w:t>
      </w:r>
    </w:p>
    <w:p w14:paraId="4DDD7C28">
      <w:pPr>
        <w:pStyle w:val="57"/>
        <w:autoSpaceDE/>
        <w:autoSpaceDN/>
        <w:spacing w:before="313" w:beforeLines="100" w:after="313" w:afterLines="100"/>
        <w:jc w:val="center"/>
        <w:rPr>
          <w:rFonts w:hint="eastAsia"/>
          <w:lang w:eastAsia="zh-CN"/>
        </w:rPr>
      </w:pPr>
      <w:r>
        <w:rPr>
          <w:rFonts w:hint="eastAsia"/>
          <w:lang w:eastAsia="zh-CN"/>
        </w:rPr>
        <w:drawing>
          <wp:inline distT="0" distB="0" distL="114300" distR="114300">
            <wp:extent cx="5453380" cy="3737610"/>
            <wp:effectExtent l="0" t="0" r="13970" b="15240"/>
            <wp:docPr id="14" name="图片 14" descr="c2f37e95-2293-4876-a3ee-d0b4af970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2f37e95-2293-4876-a3ee-d0b4af97077d"/>
                    <pic:cNvPicPr>
                      <a:picLocks noChangeAspect="1"/>
                    </pic:cNvPicPr>
                  </pic:nvPicPr>
                  <pic:blipFill>
                    <a:blip r:embed="rId45"/>
                    <a:stretch>
                      <a:fillRect/>
                    </a:stretch>
                  </pic:blipFill>
                  <pic:spPr>
                    <a:xfrm>
                      <a:off x="0" y="0"/>
                      <a:ext cx="5453380" cy="3737610"/>
                    </a:xfrm>
                    <a:prstGeom prst="rect">
                      <a:avLst/>
                    </a:prstGeom>
                  </pic:spPr>
                </pic:pic>
              </a:graphicData>
            </a:graphic>
          </wp:inline>
        </w:drawing>
      </w:r>
    </w:p>
    <w:p w14:paraId="23955E68">
      <w:pPr>
        <w:pStyle w:val="232"/>
        <w:spacing w:before="161" w:after="161"/>
      </w:pPr>
      <w:r>
        <w:rPr>
          <w:rFonts w:hint="eastAsia" w:hAnsi="黑体"/>
        </w:rPr>
        <w:t>表</w:t>
      </w:r>
      <w:r>
        <w:rPr>
          <w:rFonts w:hint="eastAsia" w:hAnsi="黑体"/>
          <w:lang w:val="en-US" w:eastAsia="zh-CN"/>
        </w:rPr>
        <w:t>J.1</w:t>
      </w:r>
      <w:r>
        <w:rPr>
          <w:rFonts w:hint="eastAsia"/>
        </w:rPr>
        <w:t xml:space="preserve"> </w:t>
      </w:r>
      <w:r>
        <w:rPr>
          <w:rFonts w:hint="eastAsia"/>
          <w:lang w:val="en-US" w:eastAsia="zh-CN"/>
        </w:rPr>
        <w:t xml:space="preserve"> </w:t>
      </w:r>
      <w:r>
        <w:rPr>
          <w:rFonts w:hint="eastAsia"/>
        </w:rPr>
        <w:t>移动式防尘防噪示意图</w:t>
      </w:r>
    </w:p>
    <w:p w14:paraId="4416CE57">
      <w:pPr>
        <w:pStyle w:val="57"/>
        <w:ind w:firstLine="420"/>
      </w:pPr>
    </w:p>
    <w:p w14:paraId="72D30C6D">
      <w:pPr>
        <w:pStyle w:val="57"/>
        <w:ind w:firstLine="420"/>
      </w:pPr>
    </w:p>
    <w:p w14:paraId="4E9C809B">
      <w:pPr>
        <w:pStyle w:val="57"/>
        <w:ind w:firstLine="420"/>
        <w:sectPr>
          <w:pgSz w:w="11906" w:h="16838"/>
          <w:pgMar w:top="1928" w:right="1134" w:bottom="1134" w:left="1134" w:header="1418" w:footer="1134" w:gutter="284"/>
          <w:cols w:space="425" w:num="1"/>
          <w:formProt w:val="0"/>
          <w:docGrid w:linePitch="312" w:charSpace="0"/>
        </w:sectPr>
      </w:pPr>
    </w:p>
    <w:p w14:paraId="630FEE5C">
      <w:pPr>
        <w:pStyle w:val="77"/>
        <w:spacing w:after="120"/>
      </w:pPr>
      <w:bookmarkStart w:id="96" w:name="_Toc13634"/>
      <w:r>
        <w:br w:type="textWrapping"/>
      </w:r>
      <w:r>
        <w:rPr>
          <w:rFonts w:hint="eastAsia"/>
        </w:rPr>
        <w:t>（资料性）</w:t>
      </w:r>
      <w:r>
        <w:br w:type="textWrapping"/>
      </w:r>
      <w:r>
        <w:rPr>
          <w:rFonts w:hint="eastAsia"/>
          <w:lang w:val="en-US" w:eastAsia="zh-CN"/>
        </w:rPr>
        <w:t>基坑（槽）支护</w:t>
      </w:r>
      <w:bookmarkEnd w:id="96"/>
    </w:p>
    <w:p w14:paraId="4AF1E343">
      <w:pPr>
        <w:pStyle w:val="57"/>
        <w:autoSpaceDE/>
        <w:autoSpaceDN/>
        <w:spacing w:before="313" w:beforeLines="100" w:after="313" w:afterLines="100"/>
      </w:pPr>
      <w:r>
        <w:rPr>
          <w:rFonts w:hint="eastAsia"/>
          <w:lang w:val="en-US" w:eastAsia="zh-CN"/>
        </w:rPr>
        <w:t>图K.1给出了基坑支护示意图</w:t>
      </w:r>
      <w:r>
        <w:rPr>
          <w:rFonts w:hint="eastAsia" w:hAnsi="Times New Roman"/>
          <w:lang w:eastAsia="zh-CN"/>
        </w:rPr>
        <w:t>。</w:t>
      </w:r>
    </w:p>
    <w:p w14:paraId="7E7A9C56">
      <w:pPr>
        <w:pStyle w:val="133"/>
        <w:keepNext w:val="0"/>
        <w:keepLines w:val="0"/>
        <w:pageBreakBefore w:val="0"/>
        <w:widowControl/>
        <w:numPr>
          <w:ilvl w:val="0"/>
          <w:numId w:val="0"/>
        </w:numPr>
        <w:kinsoku/>
        <w:wordWrap/>
        <w:overflowPunct/>
        <w:topLinePunct w:val="0"/>
        <w:autoSpaceDE/>
        <w:autoSpaceDN/>
        <w:bidi w:val="0"/>
        <w:adjustRightInd/>
        <w:snapToGrid/>
        <w:jc w:val="center"/>
        <w:textAlignment w:val="auto"/>
        <w:rPr>
          <w:rFonts w:hint="eastAsia" w:eastAsia="宋体"/>
          <w:lang w:eastAsia="zh-CN"/>
        </w:rPr>
      </w:pPr>
      <w:r>
        <w:rPr>
          <w:rFonts w:hint="eastAsia" w:eastAsia="宋体"/>
          <w:lang w:eastAsia="zh-CN"/>
        </w:rPr>
        <w:drawing>
          <wp:inline distT="0" distB="0" distL="114300" distR="114300">
            <wp:extent cx="5934075" cy="4256405"/>
            <wp:effectExtent l="0" t="0" r="9525" b="10795"/>
            <wp:docPr id="6" name="图片 6" descr="aad4a7fa-bcfb-4bf5-9d1f-e5edad9d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d4a7fa-bcfb-4bf5-9d1f-e5edad9d9587"/>
                    <pic:cNvPicPr>
                      <a:picLocks noChangeAspect="1"/>
                    </pic:cNvPicPr>
                  </pic:nvPicPr>
                  <pic:blipFill>
                    <a:blip r:embed="rId46"/>
                    <a:stretch>
                      <a:fillRect/>
                    </a:stretch>
                  </pic:blipFill>
                  <pic:spPr>
                    <a:xfrm>
                      <a:off x="0" y="0"/>
                      <a:ext cx="5934075" cy="4256405"/>
                    </a:xfrm>
                    <a:prstGeom prst="rect">
                      <a:avLst/>
                    </a:prstGeom>
                  </pic:spPr>
                </pic:pic>
              </a:graphicData>
            </a:graphic>
          </wp:inline>
        </w:drawing>
      </w:r>
    </w:p>
    <w:p w14:paraId="772AC9B2">
      <w:pPr>
        <w:pStyle w:val="232"/>
        <w:spacing w:before="161" w:after="161"/>
        <w:rPr>
          <w:rFonts w:hint="eastAsia" w:cs="Times New Roman"/>
        </w:rPr>
      </w:pPr>
      <w:r>
        <w:rPr>
          <w:rFonts w:hint="eastAsia" w:hAnsi="黑体"/>
        </w:rPr>
        <w:t>表</w:t>
      </w:r>
      <w:r>
        <w:rPr>
          <w:rFonts w:hint="eastAsia" w:hAnsi="黑体"/>
          <w:lang w:val="en-US" w:eastAsia="zh-CN"/>
        </w:rPr>
        <w:t>K.1</w:t>
      </w:r>
      <w:r>
        <w:rPr>
          <w:rFonts w:hint="eastAsia"/>
        </w:rPr>
        <w:t xml:space="preserve"> </w:t>
      </w:r>
      <w:r>
        <w:rPr>
          <w:rFonts w:hint="eastAsia"/>
          <w:lang w:val="en-US" w:eastAsia="zh-CN"/>
        </w:rPr>
        <w:t xml:space="preserve"> </w:t>
      </w:r>
      <w:r>
        <w:rPr>
          <w:rFonts w:hint="eastAsia" w:cs="Times New Roman"/>
          <w:lang w:val="en-US" w:eastAsia="zh-CN"/>
        </w:rPr>
        <w:t>基坑支护</w:t>
      </w:r>
      <w:r>
        <w:rPr>
          <w:rFonts w:hint="eastAsia" w:cs="Times New Roman"/>
        </w:rPr>
        <w:t>防护示意图</w:t>
      </w:r>
    </w:p>
    <w:p w14:paraId="4916A954">
      <w:pPr>
        <w:rPr>
          <w:rFonts w:hint="eastAsia" w:eastAsia="宋体"/>
          <w:lang w:eastAsia="zh-CN"/>
        </w:rPr>
      </w:pPr>
      <w:r>
        <w:rPr>
          <w:rFonts w:hint="eastAsia" w:eastAsia="宋体"/>
          <w:lang w:eastAsia="zh-CN"/>
        </w:rPr>
        <w:drawing>
          <wp:inline distT="0" distB="0" distL="114300" distR="114300">
            <wp:extent cx="4238625" cy="6124575"/>
            <wp:effectExtent l="0" t="0" r="9525" b="9525"/>
            <wp:docPr id="23" name="图片 23" descr="097002d5-9bae-4f37-82da-5c8d94335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97002d5-9bae-4f37-82da-5c8d9433539b"/>
                    <pic:cNvPicPr>
                      <a:picLocks noChangeAspect="1"/>
                    </pic:cNvPicPr>
                  </pic:nvPicPr>
                  <pic:blipFill>
                    <a:blip r:embed="rId47"/>
                    <a:stretch>
                      <a:fillRect/>
                    </a:stretch>
                  </pic:blipFill>
                  <pic:spPr>
                    <a:xfrm>
                      <a:off x="0" y="0"/>
                      <a:ext cx="4238625" cy="6124575"/>
                    </a:xfrm>
                    <a:prstGeom prst="rect">
                      <a:avLst/>
                    </a:prstGeom>
                  </pic:spPr>
                </pic:pic>
              </a:graphicData>
            </a:graphic>
          </wp:inline>
        </w:drawing>
      </w:r>
    </w:p>
    <w:p w14:paraId="010A7A39">
      <w:pPr>
        <w:pStyle w:val="57"/>
        <w:ind w:firstLine="420"/>
        <w:rPr>
          <w:rFonts w:hint="eastAsia" w:eastAsia="宋体"/>
          <w:lang w:eastAsia="zh-CN"/>
        </w:rPr>
      </w:pPr>
    </w:p>
    <w:p w14:paraId="363EBC47">
      <w:pPr>
        <w:pStyle w:val="57"/>
        <w:ind w:firstLine="420"/>
        <w:rPr>
          <w:rFonts w:hint="eastAsia" w:eastAsia="宋体"/>
          <w:lang w:eastAsia="zh-CN"/>
        </w:rPr>
      </w:pPr>
    </w:p>
    <w:p w14:paraId="7B51A615">
      <w:pPr>
        <w:pStyle w:val="57"/>
        <w:ind w:firstLine="420"/>
        <w:rPr>
          <w:rFonts w:hint="eastAsia" w:eastAsia="宋体"/>
          <w:lang w:eastAsia="zh-CN"/>
        </w:rPr>
      </w:pPr>
    </w:p>
    <w:p w14:paraId="59346D03">
      <w:pPr>
        <w:pStyle w:val="57"/>
        <w:ind w:firstLine="420"/>
      </w:pPr>
    </w:p>
    <w:p w14:paraId="15243873">
      <w:pPr>
        <w:pStyle w:val="57"/>
        <w:ind w:firstLine="420"/>
        <w:sectPr>
          <w:pgSz w:w="11906" w:h="16838"/>
          <w:pgMar w:top="1928" w:right="1134" w:bottom="1134" w:left="1134" w:header="1418" w:footer="1134" w:gutter="284"/>
          <w:cols w:space="425" w:num="1"/>
          <w:formProt w:val="0"/>
          <w:docGrid w:linePitch="312" w:charSpace="0"/>
        </w:sectPr>
      </w:pPr>
    </w:p>
    <w:p w14:paraId="0E224E2A">
      <w:pPr>
        <w:pStyle w:val="77"/>
        <w:spacing w:after="120"/>
      </w:pPr>
      <w:bookmarkStart w:id="97" w:name="_Toc11975"/>
      <w:r>
        <w:br w:type="textWrapping"/>
      </w:r>
      <w:r>
        <w:rPr>
          <w:rFonts w:hint="eastAsia"/>
        </w:rPr>
        <w:t>（资料性）</w:t>
      </w:r>
      <w:r>
        <w:br w:type="textWrapping"/>
      </w:r>
      <w:r>
        <w:rPr>
          <w:rFonts w:hint="eastAsia"/>
          <w:lang w:val="en-US" w:eastAsia="zh-CN"/>
        </w:rPr>
        <w:t>动火作业</w:t>
      </w:r>
      <w:bookmarkEnd w:id="97"/>
    </w:p>
    <w:p w14:paraId="4F47B6D6">
      <w:pPr>
        <w:pStyle w:val="57"/>
        <w:autoSpaceDE/>
        <w:autoSpaceDN/>
        <w:spacing w:before="313" w:beforeLines="100" w:after="313" w:afterLines="100"/>
        <w:rPr>
          <w:rFonts w:hint="eastAsia" w:hAnsi="Times New Roman"/>
          <w:color w:val="auto"/>
          <w:lang w:eastAsia="zh-CN"/>
        </w:rPr>
      </w:pPr>
      <w:r>
        <w:rPr>
          <w:rFonts w:hint="eastAsia"/>
          <w:color w:val="auto"/>
          <w:lang w:val="en-US" w:eastAsia="zh-CN"/>
        </w:rPr>
        <w:t>图L.1给出了动火作业安全风险点告知牌示意图</w:t>
      </w:r>
      <w:r>
        <w:rPr>
          <w:rFonts w:hint="eastAsia" w:hAnsi="Times New Roman"/>
          <w:color w:val="auto"/>
          <w:lang w:eastAsia="zh-CN"/>
        </w:rPr>
        <w:t>。</w:t>
      </w:r>
    </w:p>
    <w:p w14:paraId="0F46E789">
      <w:pPr>
        <w:pStyle w:val="165"/>
        <w:numPr>
          <w:ilvl w:val="0"/>
          <w:numId w:val="0"/>
        </w:numPr>
        <w:jc w:val="center"/>
      </w:pPr>
      <w:r>
        <w:drawing>
          <wp:inline distT="0" distB="0" distL="0" distR="0">
            <wp:extent cx="3327400" cy="2727960"/>
            <wp:effectExtent l="0" t="0" r="6350" b="15240"/>
            <wp:docPr id="75886568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65684" name="图片 11" descr="4"/>
                    <pic:cNvPicPr>
                      <a:picLocks noChangeAspect="1"/>
                    </pic:cNvPicPr>
                  </pic:nvPicPr>
                  <pic:blipFill>
                    <a:blip r:embed="rId48"/>
                    <a:stretch>
                      <a:fillRect/>
                    </a:stretch>
                  </pic:blipFill>
                  <pic:spPr>
                    <a:xfrm>
                      <a:off x="0" y="0"/>
                      <a:ext cx="3327728" cy="2728050"/>
                    </a:xfrm>
                    <a:prstGeom prst="rect">
                      <a:avLst/>
                    </a:prstGeom>
                  </pic:spPr>
                </pic:pic>
              </a:graphicData>
            </a:graphic>
          </wp:inline>
        </w:drawing>
      </w:r>
    </w:p>
    <w:p w14:paraId="1D24CC87">
      <w:pPr>
        <w:pStyle w:val="232"/>
        <w:spacing w:before="161" w:after="161"/>
        <w:rPr>
          <w:rFonts w:hint="eastAsia" w:cs="Times New Roman"/>
        </w:rPr>
      </w:pPr>
      <w:r>
        <w:rPr>
          <w:rFonts w:hint="eastAsia" w:hAnsi="黑体" w:cs="Times New Roman"/>
          <w:lang w:val="en-US" w:eastAsia="zh-CN"/>
        </w:rPr>
        <w:t>图L.1</w:t>
      </w:r>
      <w:r>
        <w:rPr>
          <w:rFonts w:hint="eastAsia" w:hAnsi="黑体" w:cs="Times New Roman"/>
        </w:rPr>
        <w:t xml:space="preserve"> </w:t>
      </w:r>
      <w:r>
        <w:rPr>
          <w:rFonts w:hint="eastAsia" w:hAnsi="黑体" w:cs="Times New Roman"/>
          <w:lang w:val="en-US" w:eastAsia="zh-CN"/>
        </w:rPr>
        <w:t xml:space="preserve"> </w:t>
      </w:r>
      <w:r>
        <w:rPr>
          <w:rFonts w:hint="eastAsia" w:cs="Times New Roman"/>
          <w:lang w:val="en-US" w:eastAsia="zh-CN"/>
        </w:rPr>
        <w:t>动火作业安全风险点告知牌</w:t>
      </w:r>
      <w:r>
        <w:rPr>
          <w:rFonts w:hint="eastAsia" w:cs="Times New Roman"/>
        </w:rPr>
        <w:t>示意图</w:t>
      </w:r>
    </w:p>
    <w:p w14:paraId="58A67FF0">
      <w:pPr>
        <w:pStyle w:val="232"/>
        <w:spacing w:before="161" w:after="161"/>
        <w:rPr>
          <w:rFonts w:hint="eastAsia" w:hAnsi="黑体" w:cs="Times New Roman"/>
          <w:lang w:val="en-US" w:eastAsia="zh-CN"/>
        </w:rPr>
      </w:pPr>
    </w:p>
    <w:p w14:paraId="2A72A037">
      <w:pPr>
        <w:pStyle w:val="57"/>
        <w:ind w:firstLine="420"/>
        <w:sectPr>
          <w:pgSz w:w="11906" w:h="16838"/>
          <w:pgMar w:top="1928" w:right="1134" w:bottom="1134" w:left="1134" w:header="1418" w:footer="1134" w:gutter="284"/>
          <w:cols w:space="425" w:num="1"/>
          <w:formProt w:val="0"/>
          <w:docGrid w:linePitch="312" w:charSpace="0"/>
        </w:sectPr>
      </w:pPr>
    </w:p>
    <w:p w14:paraId="445B97A4">
      <w:pPr>
        <w:pStyle w:val="57"/>
        <w:ind w:firstLine="420"/>
      </w:pPr>
    </w:p>
    <w:p w14:paraId="6B7B5CD7">
      <w:pPr>
        <w:pStyle w:val="77"/>
        <w:spacing w:after="120"/>
      </w:pPr>
      <w:bookmarkStart w:id="98" w:name="_Toc30208"/>
      <w:r>
        <w:br w:type="textWrapping"/>
      </w:r>
      <w:r>
        <w:rPr>
          <w:rFonts w:hint="eastAsia"/>
        </w:rPr>
        <w:t>（资料性）</w:t>
      </w:r>
      <w:r>
        <w:br w:type="textWrapping"/>
      </w:r>
      <w:r>
        <w:rPr>
          <w:rFonts w:hint="eastAsia"/>
          <w:lang w:val="en-US" w:eastAsia="zh-CN"/>
        </w:rPr>
        <w:t>临时用电</w:t>
      </w:r>
      <w:bookmarkEnd w:id="98"/>
    </w:p>
    <w:p w14:paraId="7148F926">
      <w:pPr>
        <w:pStyle w:val="57"/>
        <w:autoSpaceDE/>
        <w:autoSpaceDN/>
        <w:spacing w:before="313" w:beforeLines="100" w:after="313" w:afterLines="100"/>
        <w:rPr>
          <w:rFonts w:hint="default"/>
          <w:highlight w:val="yellow"/>
          <w:lang w:val="en-US"/>
        </w:rPr>
      </w:pPr>
      <w:r>
        <w:rPr>
          <w:rFonts w:hint="eastAsia"/>
          <w:highlight w:val="none"/>
          <w:lang w:val="en-US" w:eastAsia="zh-CN"/>
        </w:rPr>
        <w:t>图M.1给出了临时用电设施示意图</w:t>
      </w:r>
      <w:r>
        <w:rPr>
          <w:rFonts w:hint="eastAsia" w:hAnsi="Times New Roman"/>
          <w:highlight w:val="none"/>
          <w:lang w:eastAsia="zh-CN"/>
        </w:rPr>
        <w:t>。</w:t>
      </w:r>
    </w:p>
    <w:p w14:paraId="365FAB54">
      <w:pPr>
        <w:pStyle w:val="57"/>
        <w:autoSpaceDE/>
        <w:autoSpaceDN/>
        <w:spacing w:before="313" w:beforeLines="100" w:after="313" w:afterLines="100"/>
        <w:rPr>
          <w:rFonts w:hint="eastAsia" w:hAnsi="Times New Roman"/>
          <w:highlight w:val="none"/>
          <w:lang w:eastAsia="zh-CN"/>
        </w:rPr>
      </w:pPr>
    </w:p>
    <w:p w14:paraId="7355C602">
      <w:pPr>
        <w:pStyle w:val="232"/>
        <w:spacing w:before="161" w:after="161"/>
        <w:rPr>
          <w:rFonts w:hint="eastAsia" w:hAnsi="黑体"/>
          <w:lang w:val="en-US" w:eastAsia="zh-CN"/>
        </w:rPr>
      </w:pPr>
      <w:r>
        <w:drawing>
          <wp:inline distT="0" distB="0" distL="114300" distR="114300">
            <wp:extent cx="5104765" cy="3403600"/>
            <wp:effectExtent l="0" t="0" r="635" b="635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9"/>
                    <a:stretch>
                      <a:fillRect/>
                    </a:stretch>
                  </pic:blipFill>
                  <pic:spPr>
                    <a:xfrm>
                      <a:off x="0" y="0"/>
                      <a:ext cx="5104765" cy="3403600"/>
                    </a:xfrm>
                    <a:prstGeom prst="rect">
                      <a:avLst/>
                    </a:prstGeom>
                    <a:noFill/>
                    <a:ln>
                      <a:noFill/>
                    </a:ln>
                  </pic:spPr>
                </pic:pic>
              </a:graphicData>
            </a:graphic>
          </wp:inline>
        </w:drawing>
      </w:r>
    </w:p>
    <w:p w14:paraId="3569174E">
      <w:pPr>
        <w:pStyle w:val="232"/>
        <w:spacing w:before="161" w:after="161"/>
        <w:rPr>
          <w:rFonts w:hint="eastAsia" w:hAnsi="黑体" w:cs="Times New Roman"/>
        </w:rPr>
      </w:pPr>
      <w:r>
        <w:rPr>
          <w:rFonts w:hint="eastAsia" w:hAnsi="黑体"/>
          <w:lang w:val="en-US" w:eastAsia="zh-CN"/>
        </w:rPr>
        <w:t>图M.1</w:t>
      </w:r>
      <w:r>
        <w:rPr>
          <w:rFonts w:hint="eastAsia"/>
        </w:rPr>
        <w:t xml:space="preserve"> </w:t>
      </w:r>
      <w:r>
        <w:rPr>
          <w:rFonts w:hint="eastAsia"/>
          <w:lang w:val="en-US" w:eastAsia="zh-CN"/>
        </w:rPr>
        <w:t xml:space="preserve"> </w:t>
      </w:r>
      <w:r>
        <w:rPr>
          <w:rFonts w:hint="eastAsia" w:hAnsi="黑体" w:cs="Times New Roman"/>
        </w:rPr>
        <w:t>临时用电设施示意图</w:t>
      </w:r>
    </w:p>
    <w:p w14:paraId="09BEC784">
      <w:pPr>
        <w:pStyle w:val="57"/>
        <w:ind w:firstLine="420"/>
      </w:pPr>
    </w:p>
    <w:p w14:paraId="64A88ABF">
      <w:pPr>
        <w:pStyle w:val="57"/>
        <w:ind w:firstLine="420"/>
      </w:pPr>
    </w:p>
    <w:p w14:paraId="6D462317">
      <w:pPr>
        <w:pStyle w:val="57"/>
        <w:ind w:firstLine="420"/>
        <w:sectPr>
          <w:pgSz w:w="11906" w:h="16838"/>
          <w:pgMar w:top="1928" w:right="1134" w:bottom="1134" w:left="1134" w:header="1418" w:footer="1134" w:gutter="284"/>
          <w:cols w:space="425" w:num="1"/>
          <w:formProt w:val="0"/>
          <w:docGrid w:linePitch="312" w:charSpace="0"/>
        </w:sectPr>
      </w:pPr>
    </w:p>
    <w:p w14:paraId="4C0C4404">
      <w:pPr>
        <w:pStyle w:val="57"/>
        <w:ind w:firstLine="420"/>
      </w:pPr>
    </w:p>
    <w:bookmarkEnd w:id="85"/>
    <w:p w14:paraId="19D74CB8">
      <w:pPr>
        <w:pStyle w:val="64"/>
        <w:spacing w:after="120"/>
      </w:pPr>
      <w:bookmarkStart w:id="99" w:name="_Toc29546"/>
      <w:bookmarkStart w:id="100" w:name="BookMark6"/>
      <w:r>
        <w:rPr>
          <w:rFonts w:hint="eastAsia"/>
          <w:spacing w:val="105"/>
        </w:rPr>
        <w:t>参考文</w:t>
      </w:r>
      <w:r>
        <w:rPr>
          <w:rFonts w:hint="eastAsia"/>
        </w:rPr>
        <w:t>献</w:t>
      </w:r>
      <w:bookmarkEnd w:id="99"/>
    </w:p>
    <w:p w14:paraId="73A6FBDE">
      <w:pPr>
        <w:pStyle w:val="57"/>
        <w:ind w:firstLine="420"/>
      </w:pPr>
      <w:r>
        <w:rPr>
          <w:rFonts w:hint="eastAsia"/>
        </w:rPr>
        <w:t>1.《中华人民共和国安全生产法》中华人民共和国主席令第十三号</w:t>
      </w:r>
    </w:p>
    <w:p w14:paraId="6819695C">
      <w:pPr>
        <w:pStyle w:val="57"/>
        <w:ind w:firstLine="420"/>
      </w:pPr>
      <w:r>
        <w:rPr>
          <w:rFonts w:hint="eastAsia"/>
        </w:rPr>
        <w:t>2.《中华人民共和国建筑法》</w:t>
      </w:r>
    </w:p>
    <w:p w14:paraId="31EBD60D">
      <w:pPr>
        <w:pStyle w:val="57"/>
        <w:ind w:firstLine="420"/>
      </w:pPr>
      <w:r>
        <w:rPr>
          <w:rFonts w:hint="eastAsia"/>
        </w:rPr>
        <w:t>3.《中华人民共和国消防法》</w:t>
      </w:r>
    </w:p>
    <w:p w14:paraId="3F7F6C37">
      <w:pPr>
        <w:pStyle w:val="57"/>
        <w:ind w:firstLine="420"/>
      </w:pPr>
      <w:r>
        <w:rPr>
          <w:rFonts w:hint="eastAsia"/>
        </w:rPr>
        <w:t>4.《中华人民共和国特种设备安全法》中华人民共和国主席令第四号</w:t>
      </w:r>
    </w:p>
    <w:p w14:paraId="16675C5D">
      <w:pPr>
        <w:pStyle w:val="57"/>
        <w:ind w:firstLine="420"/>
      </w:pPr>
      <w:r>
        <w:rPr>
          <w:rFonts w:hint="eastAsia"/>
        </w:rPr>
        <w:t>5.《生产安全事故报告和调查处理条例》国务院令第493号</w:t>
      </w:r>
    </w:p>
    <w:p w14:paraId="164F2238">
      <w:pPr>
        <w:pStyle w:val="57"/>
        <w:ind w:firstLine="420"/>
      </w:pPr>
      <w:r>
        <w:rPr>
          <w:rFonts w:hint="eastAsia"/>
        </w:rPr>
        <w:t>6.《建设工程安全生产管理条例》</w:t>
      </w:r>
    </w:p>
    <w:p w14:paraId="74E08E4A">
      <w:pPr>
        <w:pStyle w:val="57"/>
        <w:ind w:firstLine="420"/>
      </w:pPr>
      <w:r>
        <w:rPr>
          <w:rFonts w:hint="eastAsia"/>
        </w:rPr>
        <w:t>7.《安全生产许可证条例》国务院令第397号</w:t>
      </w:r>
    </w:p>
    <w:p w14:paraId="65BFA5D1">
      <w:pPr>
        <w:pStyle w:val="57"/>
        <w:ind w:firstLine="420"/>
      </w:pPr>
      <w:r>
        <w:rPr>
          <w:rFonts w:hint="eastAsia"/>
        </w:rPr>
        <w:t>8.《特种设备安全监察条例》</w:t>
      </w:r>
    </w:p>
    <w:p w14:paraId="0449235D">
      <w:pPr>
        <w:pStyle w:val="57"/>
        <w:ind w:firstLine="420"/>
      </w:pPr>
      <w:r>
        <w:rPr>
          <w:rFonts w:hint="eastAsia"/>
        </w:rPr>
        <w:t>9.《中华人民共和国特种设备安全管理监察条例》</w:t>
      </w:r>
    </w:p>
    <w:p w14:paraId="04DE5180">
      <w:pPr>
        <w:pStyle w:val="57"/>
        <w:ind w:firstLine="420"/>
      </w:pPr>
      <w:r>
        <w:rPr>
          <w:rFonts w:hint="eastAsia"/>
        </w:rPr>
        <w:t>10.《有限空间作业安全指导手册》（应急管理部2020年）</w:t>
      </w:r>
    </w:p>
    <w:p w14:paraId="5FE93D24">
      <w:pPr>
        <w:pStyle w:val="57"/>
        <w:ind w:firstLine="420"/>
      </w:pPr>
      <w:r>
        <w:rPr>
          <w:rFonts w:hint="eastAsia"/>
        </w:rPr>
        <w:t>11.《特种设备生产单位落实质量安全主体责任监督管理规定》（国家市场监督管理总局令第 73 号）</w:t>
      </w:r>
    </w:p>
    <w:p w14:paraId="11DB7D46">
      <w:pPr>
        <w:pStyle w:val="57"/>
        <w:ind w:firstLine="420"/>
      </w:pPr>
      <w:r>
        <w:rPr>
          <w:rFonts w:hint="eastAsia"/>
        </w:rPr>
        <w:t>12.《特种作业人员安全技术培训考核管理规定》（国家安全监管总局令〔2015〕80号）</w:t>
      </w:r>
    </w:p>
    <w:p w14:paraId="2C61AF30">
      <w:pPr>
        <w:pStyle w:val="57"/>
        <w:ind w:firstLine="420"/>
      </w:pPr>
      <w:r>
        <w:rPr>
          <w:rFonts w:hint="eastAsia"/>
        </w:rPr>
        <w:t>13.《关于修订&lt;特种设备目录&gt; 的公告》（2014年第114号)</w:t>
      </w:r>
    </w:p>
    <w:p w14:paraId="3A8A863A">
      <w:pPr>
        <w:pStyle w:val="57"/>
        <w:ind w:firstLine="420"/>
      </w:pPr>
      <w:r>
        <w:rPr>
          <w:rFonts w:hint="eastAsia"/>
        </w:rPr>
        <w:t>14.《市场监管总局关于特种设备行政许可有关事项的公告》（2019年第3号）</w:t>
      </w:r>
    </w:p>
    <w:p w14:paraId="6F4C24FA">
      <w:pPr>
        <w:pStyle w:val="57"/>
        <w:ind w:firstLine="420"/>
      </w:pPr>
      <w:r>
        <w:rPr>
          <w:rFonts w:hint="eastAsia"/>
        </w:rPr>
        <w:t>15.《房屋建筑和市政基础设施工程危及生产安全施工工艺、设备和材料淘汰目录（第一批）》（住建部）</w:t>
      </w:r>
    </w:p>
    <w:p w14:paraId="573376B7">
      <w:pPr>
        <w:pStyle w:val="57"/>
        <w:ind w:firstLine="420"/>
      </w:pPr>
      <w:r>
        <w:rPr>
          <w:rFonts w:hint="eastAsia"/>
        </w:rPr>
        <w:t>16.《房屋建筑和市政基础设施工程禁止和限制使用技术目录（第二批）》（住建部）</w:t>
      </w:r>
    </w:p>
    <w:p w14:paraId="6C5E39E5">
      <w:pPr>
        <w:pStyle w:val="57"/>
        <w:ind w:firstLine="420"/>
      </w:pPr>
      <w:r>
        <w:rPr>
          <w:rFonts w:hint="eastAsia"/>
        </w:rPr>
        <w:t>17.《房屋市政工程生产安全重大事故隐患判定标准（2024版）》（建质规〔2024〕5号）</w:t>
      </w:r>
    </w:p>
    <w:p w14:paraId="75E00A36">
      <w:pPr>
        <w:pStyle w:val="57"/>
        <w:ind w:firstLine="420"/>
      </w:pPr>
      <w:r>
        <w:rPr>
          <w:rFonts w:hint="eastAsia"/>
        </w:rPr>
        <w:t>18.《建筑施工企业、工程项目安全生产管理机构设置及安全生产管理人员配备办法》（建质规〔2025〕3号）</w:t>
      </w:r>
    </w:p>
    <w:p w14:paraId="2EF4BBEB">
      <w:pPr>
        <w:pStyle w:val="57"/>
        <w:ind w:firstLine="420"/>
      </w:pPr>
      <w:r>
        <w:rPr>
          <w:rFonts w:hint="eastAsia"/>
        </w:rPr>
        <w:t>19.《北京市安全生产条例》（〔十五届人大〕第 77 号）</w:t>
      </w:r>
    </w:p>
    <w:p w14:paraId="7DD9FB69">
      <w:pPr>
        <w:pStyle w:val="57"/>
        <w:ind w:firstLine="420"/>
      </w:pPr>
      <w:r>
        <w:rPr>
          <w:rFonts w:hint="eastAsia"/>
        </w:rPr>
        <w:t>20.《北京市建筑起重机械安全监督管理规定》 （京建施〔2008〕368号）</w:t>
      </w:r>
    </w:p>
    <w:p w14:paraId="2E8EF191">
      <w:pPr>
        <w:pStyle w:val="57"/>
        <w:ind w:firstLine="420"/>
      </w:pPr>
      <w:r>
        <w:rPr>
          <w:rFonts w:hint="eastAsia"/>
        </w:rPr>
        <w:t>21.《北京市房屋建筑和市政基础设施工程危险性较大的分部分项工程安全管理实施细则》（京建法〔2019〕11号）</w:t>
      </w:r>
    </w:p>
    <w:p w14:paraId="3CD61C6C">
      <w:pPr>
        <w:pStyle w:val="57"/>
        <w:ind w:firstLine="420"/>
      </w:pPr>
      <w:r>
        <w:rPr>
          <w:rFonts w:hint="eastAsia"/>
        </w:rPr>
        <w:t>22.《北京市建筑施工安全生产标准化考评管理办法（试行）》（京建法〔2015〕15号）</w:t>
      </w:r>
    </w:p>
    <w:p w14:paraId="7D0D1F6A">
      <w:pPr>
        <w:pStyle w:val="57"/>
        <w:ind w:firstLine="420"/>
      </w:pPr>
      <w:r>
        <w:rPr>
          <w:rFonts w:hint="eastAsia"/>
        </w:rPr>
        <w:t>23.北京市住建委关于印发《北京市建设工程施工现场安全生产标准化管理图集（2019版）》（京建发〔2019〕13号）</w:t>
      </w:r>
    </w:p>
    <w:p w14:paraId="7B7B30F2">
      <w:pPr>
        <w:pStyle w:val="57"/>
        <w:ind w:firstLine="420"/>
      </w:pPr>
    </w:p>
    <w:bookmarkEnd w:id="100"/>
    <w:p w14:paraId="05B9C7CF">
      <w:pPr>
        <w:pStyle w:val="57"/>
        <w:rPr>
          <w:rFonts w:hint="default" w:ascii="宋体" w:hAnsi="宋体" w:eastAsia="宋体" w:cs="宋体"/>
          <w:sz w:val="24"/>
          <w:szCs w:val="24"/>
          <w:lang w:val="en-US" w:eastAsia="zh-CN"/>
        </w:rPr>
      </w:pPr>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998F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E5236">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189BC">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F098D">
    <w:pPr>
      <w:pStyle w:val="53"/>
    </w:pPr>
    <w:r>
      <w:fldChar w:fldCharType="begin"/>
    </w:r>
    <w:r>
      <w:instrText xml:space="preserve">PAGE   \* MERGEFORMAT</w:instrText>
    </w:r>
    <w:r>
      <w:fldChar w:fldCharType="separate"/>
    </w:r>
    <w:r>
      <w:rPr>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AC9E3">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00791">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91427">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2E2CF">
    <w:pPr>
      <w:pStyle w:val="62"/>
      <w:rPr>
        <w:rFonts w:hint="eastAsia"/>
      </w:rPr>
    </w:pPr>
    <w:r>
      <w:fldChar w:fldCharType="begin"/>
    </w:r>
    <w:r>
      <w:instrText xml:space="preserve"> STYLEREF  标准文件_文件编号  \* MERGEFORMAT </w:instrText>
    </w:r>
    <w:r>
      <w:fldChar w:fldCharType="separate"/>
    </w:r>
    <w:r>
      <w:t>T/XXX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44064">
    <w:pPr>
      <w:pStyle w:val="18"/>
      <w:jc w:val="right"/>
    </w:pPr>
    <w:r>
      <w:fldChar w:fldCharType="begin"/>
    </w:r>
    <w:r>
      <w:instrText xml:space="preserve"> STYLEREF  标准文件_文件编号  \* MERGEFORMAT </w:instrText>
    </w:r>
    <w:r>
      <w:fldChar w:fldCharType="separate"/>
    </w:r>
    <w:r>
      <w:t>T/XXX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attachedTemplate r:id="rId1"/>
  <w:documentProtection w:edit="forms" w:enforcement="1" w:cryptProviderType="rsaFull" w:cryptAlgorithmClass="hash" w:cryptAlgorithmType="typeAny" w:cryptAlgorithmSid="4" w:cryptSpinCount="100000" w:hash="TFTguaI6mYiP0j3f9EjLT5JbGuc=" w:salt="A++VSvdmW1h2ZowFd5gxwQ=="/>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54E"/>
    <w:rsid w:val="0000040A"/>
    <w:rsid w:val="00000A94"/>
    <w:rsid w:val="000010E5"/>
    <w:rsid w:val="00001972"/>
    <w:rsid w:val="00001D9A"/>
    <w:rsid w:val="00006855"/>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6E9"/>
    <w:rsid w:val="00047F28"/>
    <w:rsid w:val="000503AA"/>
    <w:rsid w:val="000506A1"/>
    <w:rsid w:val="000515DD"/>
    <w:rsid w:val="0005265A"/>
    <w:rsid w:val="000539DD"/>
    <w:rsid w:val="00053BD3"/>
    <w:rsid w:val="000556ED"/>
    <w:rsid w:val="00055FE2"/>
    <w:rsid w:val="0005616F"/>
    <w:rsid w:val="00060C2E"/>
    <w:rsid w:val="00061033"/>
    <w:rsid w:val="000615D6"/>
    <w:rsid w:val="000619E9"/>
    <w:rsid w:val="000621AE"/>
    <w:rsid w:val="000622D4"/>
    <w:rsid w:val="0006357D"/>
    <w:rsid w:val="00067F1E"/>
    <w:rsid w:val="00071CC0"/>
    <w:rsid w:val="00071CFC"/>
    <w:rsid w:val="00073C8C"/>
    <w:rsid w:val="00077B64"/>
    <w:rsid w:val="00080A1C"/>
    <w:rsid w:val="00082317"/>
    <w:rsid w:val="0008237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25AE"/>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15D9"/>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173A"/>
    <w:rsid w:val="001B71D0"/>
    <w:rsid w:val="001B71EE"/>
    <w:rsid w:val="001B78C7"/>
    <w:rsid w:val="001C04A8"/>
    <w:rsid w:val="001C2C03"/>
    <w:rsid w:val="001C42F7"/>
    <w:rsid w:val="001C49E5"/>
    <w:rsid w:val="001C680C"/>
    <w:rsid w:val="001C7FEA"/>
    <w:rsid w:val="001D0499"/>
    <w:rsid w:val="001D0BBE"/>
    <w:rsid w:val="001D0ED4"/>
    <w:rsid w:val="001D212F"/>
    <w:rsid w:val="001D29D7"/>
    <w:rsid w:val="001D2DE7"/>
    <w:rsid w:val="001D411C"/>
    <w:rsid w:val="001E0C88"/>
    <w:rsid w:val="001E1B6A"/>
    <w:rsid w:val="001E2484"/>
    <w:rsid w:val="001E3CC4"/>
    <w:rsid w:val="001E4882"/>
    <w:rsid w:val="001E73AB"/>
    <w:rsid w:val="001F092D"/>
    <w:rsid w:val="001F143A"/>
    <w:rsid w:val="001F1605"/>
    <w:rsid w:val="001F2508"/>
    <w:rsid w:val="001F4816"/>
    <w:rsid w:val="001F69B4"/>
    <w:rsid w:val="001F6AF1"/>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36B8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02B"/>
    <w:rsid w:val="00272B08"/>
    <w:rsid w:val="00281924"/>
    <w:rsid w:val="00281BB8"/>
    <w:rsid w:val="00281E9E"/>
    <w:rsid w:val="00282405"/>
    <w:rsid w:val="00284113"/>
    <w:rsid w:val="00285170"/>
    <w:rsid w:val="00285361"/>
    <w:rsid w:val="00292D60"/>
    <w:rsid w:val="00293B30"/>
    <w:rsid w:val="00294D34"/>
    <w:rsid w:val="00294E3B"/>
    <w:rsid w:val="00296193"/>
    <w:rsid w:val="00296C66"/>
    <w:rsid w:val="00296EBE"/>
    <w:rsid w:val="002974E3"/>
    <w:rsid w:val="002979DD"/>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DB3"/>
    <w:rsid w:val="003B1F18"/>
    <w:rsid w:val="003B5BF0"/>
    <w:rsid w:val="003B60BF"/>
    <w:rsid w:val="003B6BE3"/>
    <w:rsid w:val="003C010C"/>
    <w:rsid w:val="003C0A6C"/>
    <w:rsid w:val="003C14F8"/>
    <w:rsid w:val="003C5A43"/>
    <w:rsid w:val="003C6AB4"/>
    <w:rsid w:val="003D0519"/>
    <w:rsid w:val="003D0FF6"/>
    <w:rsid w:val="003D262C"/>
    <w:rsid w:val="003D6D61"/>
    <w:rsid w:val="003E019F"/>
    <w:rsid w:val="003E091D"/>
    <w:rsid w:val="003E1C53"/>
    <w:rsid w:val="003E2A69"/>
    <w:rsid w:val="003E2D49"/>
    <w:rsid w:val="003E2FD4"/>
    <w:rsid w:val="003E49F6"/>
    <w:rsid w:val="003E660F"/>
    <w:rsid w:val="003E69DA"/>
    <w:rsid w:val="003F0841"/>
    <w:rsid w:val="003F23D3"/>
    <w:rsid w:val="003F3F08"/>
    <w:rsid w:val="003F49F1"/>
    <w:rsid w:val="003F6272"/>
    <w:rsid w:val="00400E72"/>
    <w:rsid w:val="00401400"/>
    <w:rsid w:val="00404869"/>
    <w:rsid w:val="00405884"/>
    <w:rsid w:val="00407D39"/>
    <w:rsid w:val="00413F8A"/>
    <w:rsid w:val="0041477A"/>
    <w:rsid w:val="004167A3"/>
    <w:rsid w:val="004232D1"/>
    <w:rsid w:val="00432DAA"/>
    <w:rsid w:val="00434305"/>
    <w:rsid w:val="00435DF7"/>
    <w:rsid w:val="0043741A"/>
    <w:rsid w:val="0044083F"/>
    <w:rsid w:val="00441AE7"/>
    <w:rsid w:val="00442FA1"/>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93AF9"/>
    <w:rsid w:val="004A12DF"/>
    <w:rsid w:val="004A1BA8"/>
    <w:rsid w:val="004A4B57"/>
    <w:rsid w:val="004A63FA"/>
    <w:rsid w:val="004A6A3D"/>
    <w:rsid w:val="004B0272"/>
    <w:rsid w:val="004B2701"/>
    <w:rsid w:val="004B2E1B"/>
    <w:rsid w:val="004B3AA8"/>
    <w:rsid w:val="004B3E93"/>
    <w:rsid w:val="004C1FBC"/>
    <w:rsid w:val="004C25A2"/>
    <w:rsid w:val="004C3186"/>
    <w:rsid w:val="004C3F1D"/>
    <w:rsid w:val="004C458D"/>
    <w:rsid w:val="004C7556"/>
    <w:rsid w:val="004C7E8B"/>
    <w:rsid w:val="004C7E9D"/>
    <w:rsid w:val="004C7F67"/>
    <w:rsid w:val="004D076D"/>
    <w:rsid w:val="004D0EF1"/>
    <w:rsid w:val="004D2253"/>
    <w:rsid w:val="004D4406"/>
    <w:rsid w:val="004D45D1"/>
    <w:rsid w:val="004D7C42"/>
    <w:rsid w:val="004E0465"/>
    <w:rsid w:val="004E127B"/>
    <w:rsid w:val="004E1C0A"/>
    <w:rsid w:val="004E30C5"/>
    <w:rsid w:val="004E4AA5"/>
    <w:rsid w:val="004E4AEE"/>
    <w:rsid w:val="004E59E3"/>
    <w:rsid w:val="004E67C0"/>
    <w:rsid w:val="004F391A"/>
    <w:rsid w:val="004F3CFB"/>
    <w:rsid w:val="004F4C48"/>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0595"/>
    <w:rsid w:val="00541853"/>
    <w:rsid w:val="00543BDA"/>
    <w:rsid w:val="005441CC"/>
    <w:rsid w:val="005479DA"/>
    <w:rsid w:val="00547BCC"/>
    <w:rsid w:val="0055013B"/>
    <w:rsid w:val="00551E7E"/>
    <w:rsid w:val="00551F6F"/>
    <w:rsid w:val="00555044"/>
    <w:rsid w:val="00561475"/>
    <w:rsid w:val="00562308"/>
    <w:rsid w:val="0056487B"/>
    <w:rsid w:val="00564FB9"/>
    <w:rsid w:val="00573D9E"/>
    <w:rsid w:val="005801E3"/>
    <w:rsid w:val="00581802"/>
    <w:rsid w:val="00582F5B"/>
    <w:rsid w:val="005836A8"/>
    <w:rsid w:val="0058409C"/>
    <w:rsid w:val="00584262"/>
    <w:rsid w:val="00586630"/>
    <w:rsid w:val="00587ADD"/>
    <w:rsid w:val="00593A49"/>
    <w:rsid w:val="00596160"/>
    <w:rsid w:val="005966E2"/>
    <w:rsid w:val="00597007"/>
    <w:rsid w:val="005A0966"/>
    <w:rsid w:val="005A11B7"/>
    <w:rsid w:val="005A260B"/>
    <w:rsid w:val="005A4A1B"/>
    <w:rsid w:val="005A5E6A"/>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D7818"/>
    <w:rsid w:val="005E2335"/>
    <w:rsid w:val="005E34CA"/>
    <w:rsid w:val="005E3C18"/>
    <w:rsid w:val="005E4250"/>
    <w:rsid w:val="005E6812"/>
    <w:rsid w:val="005E7881"/>
    <w:rsid w:val="005E78E0"/>
    <w:rsid w:val="005F0D9C"/>
    <w:rsid w:val="005F284E"/>
    <w:rsid w:val="006015CE"/>
    <w:rsid w:val="00604784"/>
    <w:rsid w:val="00606419"/>
    <w:rsid w:val="00607D29"/>
    <w:rsid w:val="00612952"/>
    <w:rsid w:val="0061351E"/>
    <w:rsid w:val="00614CC1"/>
    <w:rsid w:val="00615A9D"/>
    <w:rsid w:val="00617387"/>
    <w:rsid w:val="006205D6"/>
    <w:rsid w:val="006252D8"/>
    <w:rsid w:val="006259BC"/>
    <w:rsid w:val="00625A80"/>
    <w:rsid w:val="0062636B"/>
    <w:rsid w:val="00632182"/>
    <w:rsid w:val="00632AE0"/>
    <w:rsid w:val="00633C17"/>
    <w:rsid w:val="00634D9E"/>
    <w:rsid w:val="00636E3E"/>
    <w:rsid w:val="006379F7"/>
    <w:rsid w:val="00637E4D"/>
    <w:rsid w:val="00640620"/>
    <w:rsid w:val="00641A1F"/>
    <w:rsid w:val="00644FF4"/>
    <w:rsid w:val="00645904"/>
    <w:rsid w:val="0065124C"/>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B016C"/>
    <w:rsid w:val="006B2672"/>
    <w:rsid w:val="006B44BE"/>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6F6A95"/>
    <w:rsid w:val="007002C5"/>
    <w:rsid w:val="00704387"/>
    <w:rsid w:val="00707669"/>
    <w:rsid w:val="00711CBA"/>
    <w:rsid w:val="00711FB5"/>
    <w:rsid w:val="00712A01"/>
    <w:rsid w:val="00714F58"/>
    <w:rsid w:val="007170B4"/>
    <w:rsid w:val="00722FBF"/>
    <w:rsid w:val="00722FC2"/>
    <w:rsid w:val="00724E1B"/>
    <w:rsid w:val="00725949"/>
    <w:rsid w:val="00727FA2"/>
    <w:rsid w:val="007322D9"/>
    <w:rsid w:val="00732BC0"/>
    <w:rsid w:val="007364B4"/>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0B0C"/>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68"/>
    <w:rsid w:val="007B5B95"/>
    <w:rsid w:val="007B6032"/>
    <w:rsid w:val="007B68EA"/>
    <w:rsid w:val="007B7453"/>
    <w:rsid w:val="007C21D9"/>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B2E"/>
    <w:rsid w:val="00821D19"/>
    <w:rsid w:val="00823303"/>
    <w:rsid w:val="008233B2"/>
    <w:rsid w:val="00823A9F"/>
    <w:rsid w:val="00823C85"/>
    <w:rsid w:val="00825138"/>
    <w:rsid w:val="008269DD"/>
    <w:rsid w:val="00830621"/>
    <w:rsid w:val="0083063B"/>
    <w:rsid w:val="008318F0"/>
    <w:rsid w:val="0083348C"/>
    <w:rsid w:val="00835012"/>
    <w:rsid w:val="008373D3"/>
    <w:rsid w:val="00840617"/>
    <w:rsid w:val="00840F84"/>
    <w:rsid w:val="00842A47"/>
    <w:rsid w:val="00843C13"/>
    <w:rsid w:val="00843CE0"/>
    <w:rsid w:val="00843DEF"/>
    <w:rsid w:val="008454F8"/>
    <w:rsid w:val="0085173A"/>
    <w:rsid w:val="008603CE"/>
    <w:rsid w:val="008620FC"/>
    <w:rsid w:val="008627A5"/>
    <w:rsid w:val="00863503"/>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A97"/>
    <w:rsid w:val="008F4C29"/>
    <w:rsid w:val="008F70BD"/>
    <w:rsid w:val="008F788F"/>
    <w:rsid w:val="008F7EA2"/>
    <w:rsid w:val="009010C3"/>
    <w:rsid w:val="00902722"/>
    <w:rsid w:val="009027BC"/>
    <w:rsid w:val="009062E6"/>
    <w:rsid w:val="00911BE5"/>
    <w:rsid w:val="00913CA9"/>
    <w:rsid w:val="009145AE"/>
    <w:rsid w:val="009146CE"/>
    <w:rsid w:val="00914CA7"/>
    <w:rsid w:val="00914E37"/>
    <w:rsid w:val="00914EA7"/>
    <w:rsid w:val="00915C3E"/>
    <w:rsid w:val="009161A8"/>
    <w:rsid w:val="009245AE"/>
    <w:rsid w:val="009245F5"/>
    <w:rsid w:val="0092460F"/>
    <w:rsid w:val="009249EC"/>
    <w:rsid w:val="009273B3"/>
    <w:rsid w:val="009305B5"/>
    <w:rsid w:val="009378DD"/>
    <w:rsid w:val="0094262F"/>
    <w:rsid w:val="009429D5"/>
    <w:rsid w:val="00942BF1"/>
    <w:rsid w:val="00945180"/>
    <w:rsid w:val="00945428"/>
    <w:rsid w:val="0094607B"/>
    <w:rsid w:val="00953604"/>
    <w:rsid w:val="0095496B"/>
    <w:rsid w:val="00960F1E"/>
    <w:rsid w:val="009610DC"/>
    <w:rsid w:val="00961490"/>
    <w:rsid w:val="0096381A"/>
    <w:rsid w:val="00965E04"/>
    <w:rsid w:val="009674AD"/>
    <w:rsid w:val="00970C72"/>
    <w:rsid w:val="00970CDC"/>
    <w:rsid w:val="00975727"/>
    <w:rsid w:val="00977010"/>
    <w:rsid w:val="00977D02"/>
    <w:rsid w:val="00977FF9"/>
    <w:rsid w:val="009809BB"/>
    <w:rsid w:val="00983584"/>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591A"/>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D76D1"/>
    <w:rsid w:val="009E0F62"/>
    <w:rsid w:val="009E4A58"/>
    <w:rsid w:val="009E5A2D"/>
    <w:rsid w:val="009E5AB2"/>
    <w:rsid w:val="009E6219"/>
    <w:rsid w:val="009F03B3"/>
    <w:rsid w:val="00A0096C"/>
    <w:rsid w:val="00A01757"/>
    <w:rsid w:val="00A028C0"/>
    <w:rsid w:val="00A02BAE"/>
    <w:rsid w:val="00A06A6B"/>
    <w:rsid w:val="00A07E47"/>
    <w:rsid w:val="00A10F85"/>
    <w:rsid w:val="00A129D0"/>
    <w:rsid w:val="00A12C33"/>
    <w:rsid w:val="00A138BA"/>
    <w:rsid w:val="00A14AF8"/>
    <w:rsid w:val="00A14C8E"/>
    <w:rsid w:val="00A153D9"/>
    <w:rsid w:val="00A15F09"/>
    <w:rsid w:val="00A169B6"/>
    <w:rsid w:val="00A2271D"/>
    <w:rsid w:val="00A237D5"/>
    <w:rsid w:val="00A24410"/>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3B5"/>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A6F36"/>
    <w:rsid w:val="00AB5506"/>
    <w:rsid w:val="00AB6309"/>
    <w:rsid w:val="00AB6C5F"/>
    <w:rsid w:val="00AB7129"/>
    <w:rsid w:val="00AC27A6"/>
    <w:rsid w:val="00AC30F7"/>
    <w:rsid w:val="00AC3A5A"/>
    <w:rsid w:val="00AC4D95"/>
    <w:rsid w:val="00AC5DF4"/>
    <w:rsid w:val="00AC6C89"/>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0E"/>
    <w:rsid w:val="00B33952"/>
    <w:rsid w:val="00B33C5E"/>
    <w:rsid w:val="00B342F4"/>
    <w:rsid w:val="00B34369"/>
    <w:rsid w:val="00B34DC2"/>
    <w:rsid w:val="00B36EBF"/>
    <w:rsid w:val="00B378E5"/>
    <w:rsid w:val="00B4346D"/>
    <w:rsid w:val="00B440F4"/>
    <w:rsid w:val="00B447A5"/>
    <w:rsid w:val="00B44E85"/>
    <w:rsid w:val="00B4654C"/>
    <w:rsid w:val="00B47293"/>
    <w:rsid w:val="00B50DCB"/>
    <w:rsid w:val="00B50E50"/>
    <w:rsid w:val="00B52120"/>
    <w:rsid w:val="00B54ABC"/>
    <w:rsid w:val="00B565A7"/>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15C4"/>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0864"/>
    <w:rsid w:val="00C13319"/>
    <w:rsid w:val="00C13EE9"/>
    <w:rsid w:val="00C21540"/>
    <w:rsid w:val="00C21906"/>
    <w:rsid w:val="00C21BFA"/>
    <w:rsid w:val="00C24C8D"/>
    <w:rsid w:val="00C25FE2"/>
    <w:rsid w:val="00C26B53"/>
    <w:rsid w:val="00C26B92"/>
    <w:rsid w:val="00C279B2"/>
    <w:rsid w:val="00C33E50"/>
    <w:rsid w:val="00C34C20"/>
    <w:rsid w:val="00C35A3E"/>
    <w:rsid w:val="00C37AE2"/>
    <w:rsid w:val="00C42130"/>
    <w:rsid w:val="00C423A4"/>
    <w:rsid w:val="00C423E3"/>
    <w:rsid w:val="00C44BF5"/>
    <w:rsid w:val="00C521D6"/>
    <w:rsid w:val="00C52D25"/>
    <w:rsid w:val="00C55232"/>
    <w:rsid w:val="00C553A4"/>
    <w:rsid w:val="00C55A06"/>
    <w:rsid w:val="00C55D03"/>
    <w:rsid w:val="00C601BC"/>
    <w:rsid w:val="00C6329F"/>
    <w:rsid w:val="00C63340"/>
    <w:rsid w:val="00C643F9"/>
    <w:rsid w:val="00C64E95"/>
    <w:rsid w:val="00C66511"/>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C7F50"/>
    <w:rsid w:val="00CD003A"/>
    <w:rsid w:val="00CD2808"/>
    <w:rsid w:val="00CD28BF"/>
    <w:rsid w:val="00CD4092"/>
    <w:rsid w:val="00CD4A20"/>
    <w:rsid w:val="00CD50A1"/>
    <w:rsid w:val="00CD519E"/>
    <w:rsid w:val="00CE0C4F"/>
    <w:rsid w:val="00CE30EA"/>
    <w:rsid w:val="00CF048A"/>
    <w:rsid w:val="00CF155A"/>
    <w:rsid w:val="00CF2947"/>
    <w:rsid w:val="00CF5BE1"/>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54494"/>
    <w:rsid w:val="00D62E79"/>
    <w:rsid w:val="00D66846"/>
    <w:rsid w:val="00D675FB"/>
    <w:rsid w:val="00D71F25"/>
    <w:rsid w:val="00D72A9C"/>
    <w:rsid w:val="00D77031"/>
    <w:rsid w:val="00D84941"/>
    <w:rsid w:val="00D84FA1"/>
    <w:rsid w:val="00D851F0"/>
    <w:rsid w:val="00D86DB7"/>
    <w:rsid w:val="00D87BF5"/>
    <w:rsid w:val="00D90721"/>
    <w:rsid w:val="00D9241E"/>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199A"/>
    <w:rsid w:val="00DB2373"/>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505F"/>
    <w:rsid w:val="00E06404"/>
    <w:rsid w:val="00E11A85"/>
    <w:rsid w:val="00E12495"/>
    <w:rsid w:val="00E15CCD"/>
    <w:rsid w:val="00E202EF"/>
    <w:rsid w:val="00E210B5"/>
    <w:rsid w:val="00E21C4A"/>
    <w:rsid w:val="00E2552F"/>
    <w:rsid w:val="00E3137A"/>
    <w:rsid w:val="00E32CCF"/>
    <w:rsid w:val="00E34A98"/>
    <w:rsid w:val="00E35D1E"/>
    <w:rsid w:val="00E364F9"/>
    <w:rsid w:val="00E365FA"/>
    <w:rsid w:val="00E36789"/>
    <w:rsid w:val="00E44A83"/>
    <w:rsid w:val="00E502C1"/>
    <w:rsid w:val="00E502DD"/>
    <w:rsid w:val="00E50973"/>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2CBE"/>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39F"/>
    <w:rsid w:val="00EA681A"/>
    <w:rsid w:val="00EA735B"/>
    <w:rsid w:val="00EB1E69"/>
    <w:rsid w:val="00EB2086"/>
    <w:rsid w:val="00EB31ED"/>
    <w:rsid w:val="00EB5EDF"/>
    <w:rsid w:val="00EB60FE"/>
    <w:rsid w:val="00EB74DB"/>
    <w:rsid w:val="00EC48B0"/>
    <w:rsid w:val="00EC5359"/>
    <w:rsid w:val="00EC562A"/>
    <w:rsid w:val="00EC76BB"/>
    <w:rsid w:val="00ED067A"/>
    <w:rsid w:val="00ED2B50"/>
    <w:rsid w:val="00EE0350"/>
    <w:rsid w:val="00EE0719"/>
    <w:rsid w:val="00EE0E80"/>
    <w:rsid w:val="00EE613F"/>
    <w:rsid w:val="00EE7295"/>
    <w:rsid w:val="00EE7869"/>
    <w:rsid w:val="00EF054A"/>
    <w:rsid w:val="00EF3235"/>
    <w:rsid w:val="00EF7E72"/>
    <w:rsid w:val="00F03DD1"/>
    <w:rsid w:val="00F06D37"/>
    <w:rsid w:val="00F07758"/>
    <w:rsid w:val="00F07B9D"/>
    <w:rsid w:val="00F11586"/>
    <w:rsid w:val="00F1183B"/>
    <w:rsid w:val="00F11C9F"/>
    <w:rsid w:val="00F12263"/>
    <w:rsid w:val="00F1409D"/>
    <w:rsid w:val="00F14214"/>
    <w:rsid w:val="00F157A9"/>
    <w:rsid w:val="00F16F00"/>
    <w:rsid w:val="00F20AF5"/>
    <w:rsid w:val="00F25BA3"/>
    <w:rsid w:val="00F25BB6"/>
    <w:rsid w:val="00F26B7E"/>
    <w:rsid w:val="00F27A3B"/>
    <w:rsid w:val="00F32780"/>
    <w:rsid w:val="00F33817"/>
    <w:rsid w:val="00F420D5"/>
    <w:rsid w:val="00F42F6B"/>
    <w:rsid w:val="00F444DF"/>
    <w:rsid w:val="00F451EA"/>
    <w:rsid w:val="00F45447"/>
    <w:rsid w:val="00F456C6"/>
    <w:rsid w:val="00F4577B"/>
    <w:rsid w:val="00F46496"/>
    <w:rsid w:val="00F474D0"/>
    <w:rsid w:val="00F50179"/>
    <w:rsid w:val="00F515EE"/>
    <w:rsid w:val="00F52A45"/>
    <w:rsid w:val="00F52B5A"/>
    <w:rsid w:val="00F56511"/>
    <w:rsid w:val="00F6194E"/>
    <w:rsid w:val="00F623AC"/>
    <w:rsid w:val="00F6412A"/>
    <w:rsid w:val="00F65893"/>
    <w:rsid w:val="00F66A4A"/>
    <w:rsid w:val="00F71E22"/>
    <w:rsid w:val="00F72142"/>
    <w:rsid w:val="00F72AE7"/>
    <w:rsid w:val="00F833BA"/>
    <w:rsid w:val="00F8354E"/>
    <w:rsid w:val="00F84FD0"/>
    <w:rsid w:val="00F85172"/>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30FC"/>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0D3379"/>
    <w:rsid w:val="01213882"/>
    <w:rsid w:val="01FE3F02"/>
    <w:rsid w:val="024C5C84"/>
    <w:rsid w:val="02554B69"/>
    <w:rsid w:val="02B7624C"/>
    <w:rsid w:val="02CD5A6F"/>
    <w:rsid w:val="030E53F6"/>
    <w:rsid w:val="03242A6B"/>
    <w:rsid w:val="048A575A"/>
    <w:rsid w:val="052847D0"/>
    <w:rsid w:val="0549505B"/>
    <w:rsid w:val="058049BE"/>
    <w:rsid w:val="060C6775"/>
    <w:rsid w:val="06136A31"/>
    <w:rsid w:val="06181294"/>
    <w:rsid w:val="07AB1F17"/>
    <w:rsid w:val="07AC72E8"/>
    <w:rsid w:val="07FA3CA2"/>
    <w:rsid w:val="08323F08"/>
    <w:rsid w:val="08F31FA8"/>
    <w:rsid w:val="09063A89"/>
    <w:rsid w:val="093E4C85"/>
    <w:rsid w:val="09510A7C"/>
    <w:rsid w:val="097C134C"/>
    <w:rsid w:val="099866AB"/>
    <w:rsid w:val="09F34F70"/>
    <w:rsid w:val="0A025642"/>
    <w:rsid w:val="0A0C48AD"/>
    <w:rsid w:val="0A27015B"/>
    <w:rsid w:val="0A312D88"/>
    <w:rsid w:val="0A650C83"/>
    <w:rsid w:val="0AB66BE6"/>
    <w:rsid w:val="0AE71698"/>
    <w:rsid w:val="0B574A70"/>
    <w:rsid w:val="0B8E0C37"/>
    <w:rsid w:val="0BD7376B"/>
    <w:rsid w:val="0C1269F3"/>
    <w:rsid w:val="0CA378A9"/>
    <w:rsid w:val="0D676AC1"/>
    <w:rsid w:val="0D771BC4"/>
    <w:rsid w:val="0DB53CD0"/>
    <w:rsid w:val="0E1E1875"/>
    <w:rsid w:val="0E35096D"/>
    <w:rsid w:val="0E5D73A8"/>
    <w:rsid w:val="0EAA4945"/>
    <w:rsid w:val="0EF34AB0"/>
    <w:rsid w:val="0F9D0EBF"/>
    <w:rsid w:val="0FDE750E"/>
    <w:rsid w:val="100E1475"/>
    <w:rsid w:val="10A81C60"/>
    <w:rsid w:val="114426AA"/>
    <w:rsid w:val="11FE5911"/>
    <w:rsid w:val="12027B86"/>
    <w:rsid w:val="12836DAC"/>
    <w:rsid w:val="12AA36D7"/>
    <w:rsid w:val="12B82329"/>
    <w:rsid w:val="13280EB3"/>
    <w:rsid w:val="138165B6"/>
    <w:rsid w:val="140573D2"/>
    <w:rsid w:val="15AD764C"/>
    <w:rsid w:val="162E117F"/>
    <w:rsid w:val="16E752AB"/>
    <w:rsid w:val="17527058"/>
    <w:rsid w:val="17544559"/>
    <w:rsid w:val="178169D1"/>
    <w:rsid w:val="17DB1510"/>
    <w:rsid w:val="18AA1337"/>
    <w:rsid w:val="18B9541C"/>
    <w:rsid w:val="18CA0CDF"/>
    <w:rsid w:val="18CD7403"/>
    <w:rsid w:val="19341F4D"/>
    <w:rsid w:val="194E28D1"/>
    <w:rsid w:val="197A1A6E"/>
    <w:rsid w:val="198D3D53"/>
    <w:rsid w:val="1997608E"/>
    <w:rsid w:val="19B3088E"/>
    <w:rsid w:val="1A845156"/>
    <w:rsid w:val="1B065FB0"/>
    <w:rsid w:val="1B1F4E7E"/>
    <w:rsid w:val="1B6A60FA"/>
    <w:rsid w:val="1BE10978"/>
    <w:rsid w:val="1C9F1DD3"/>
    <w:rsid w:val="1CAC7F8A"/>
    <w:rsid w:val="1CE20A69"/>
    <w:rsid w:val="1D9456B0"/>
    <w:rsid w:val="1DE859FC"/>
    <w:rsid w:val="1E470974"/>
    <w:rsid w:val="20090683"/>
    <w:rsid w:val="20561621"/>
    <w:rsid w:val="20607AD1"/>
    <w:rsid w:val="207215AC"/>
    <w:rsid w:val="20EB700B"/>
    <w:rsid w:val="20F61323"/>
    <w:rsid w:val="21F469E8"/>
    <w:rsid w:val="22047B51"/>
    <w:rsid w:val="22A47CF2"/>
    <w:rsid w:val="23184801"/>
    <w:rsid w:val="23BF6C61"/>
    <w:rsid w:val="244212D6"/>
    <w:rsid w:val="24701B7C"/>
    <w:rsid w:val="24B6092B"/>
    <w:rsid w:val="25BA7C7E"/>
    <w:rsid w:val="264056AC"/>
    <w:rsid w:val="265A274E"/>
    <w:rsid w:val="27E136D0"/>
    <w:rsid w:val="280C22E7"/>
    <w:rsid w:val="286B1971"/>
    <w:rsid w:val="28A8200F"/>
    <w:rsid w:val="28B855A5"/>
    <w:rsid w:val="28BD1EC1"/>
    <w:rsid w:val="28BF729C"/>
    <w:rsid w:val="28D173E8"/>
    <w:rsid w:val="290B767E"/>
    <w:rsid w:val="2AED20D3"/>
    <w:rsid w:val="2B364ACF"/>
    <w:rsid w:val="2B8C7AFA"/>
    <w:rsid w:val="2BA900BB"/>
    <w:rsid w:val="2C1D0F66"/>
    <w:rsid w:val="2C6B7BBD"/>
    <w:rsid w:val="2C6C31D4"/>
    <w:rsid w:val="2E5A728A"/>
    <w:rsid w:val="2E635821"/>
    <w:rsid w:val="2EA66FF1"/>
    <w:rsid w:val="2EAC65E6"/>
    <w:rsid w:val="2F9C6646"/>
    <w:rsid w:val="2FAC6889"/>
    <w:rsid w:val="3035464D"/>
    <w:rsid w:val="305A495C"/>
    <w:rsid w:val="30823A8E"/>
    <w:rsid w:val="316F538F"/>
    <w:rsid w:val="31723C16"/>
    <w:rsid w:val="31A6555A"/>
    <w:rsid w:val="31C81974"/>
    <w:rsid w:val="32E537B4"/>
    <w:rsid w:val="33890C8F"/>
    <w:rsid w:val="33912A78"/>
    <w:rsid w:val="34164C19"/>
    <w:rsid w:val="352C5908"/>
    <w:rsid w:val="3553461E"/>
    <w:rsid w:val="35647C06"/>
    <w:rsid w:val="362058DB"/>
    <w:rsid w:val="368C4F19"/>
    <w:rsid w:val="36AC3B3E"/>
    <w:rsid w:val="37144670"/>
    <w:rsid w:val="37D50947"/>
    <w:rsid w:val="38480F57"/>
    <w:rsid w:val="38D0264C"/>
    <w:rsid w:val="3934169D"/>
    <w:rsid w:val="393C53E2"/>
    <w:rsid w:val="395E0CF5"/>
    <w:rsid w:val="3A876819"/>
    <w:rsid w:val="3AB17449"/>
    <w:rsid w:val="3B57712A"/>
    <w:rsid w:val="3B85018E"/>
    <w:rsid w:val="3B9431ED"/>
    <w:rsid w:val="3C42434E"/>
    <w:rsid w:val="3C5E0F0B"/>
    <w:rsid w:val="3C7945E5"/>
    <w:rsid w:val="3DB65325"/>
    <w:rsid w:val="3DBC2D8E"/>
    <w:rsid w:val="3E574183"/>
    <w:rsid w:val="3EBC016B"/>
    <w:rsid w:val="3ED43365"/>
    <w:rsid w:val="3ED96F6F"/>
    <w:rsid w:val="40505543"/>
    <w:rsid w:val="40C33A32"/>
    <w:rsid w:val="40E45720"/>
    <w:rsid w:val="41BE746C"/>
    <w:rsid w:val="41D07090"/>
    <w:rsid w:val="423D7815"/>
    <w:rsid w:val="425F45A6"/>
    <w:rsid w:val="427B2AA6"/>
    <w:rsid w:val="42A37A4C"/>
    <w:rsid w:val="42E87A99"/>
    <w:rsid w:val="42F87CDA"/>
    <w:rsid w:val="43471933"/>
    <w:rsid w:val="43AE2954"/>
    <w:rsid w:val="43DE15EE"/>
    <w:rsid w:val="444E28A2"/>
    <w:rsid w:val="4464552C"/>
    <w:rsid w:val="448F771E"/>
    <w:rsid w:val="451E392D"/>
    <w:rsid w:val="45202DCD"/>
    <w:rsid w:val="45883CCF"/>
    <w:rsid w:val="45B85B30"/>
    <w:rsid w:val="464F779D"/>
    <w:rsid w:val="46B36C86"/>
    <w:rsid w:val="46D1167F"/>
    <w:rsid w:val="46EE732F"/>
    <w:rsid w:val="47380BB4"/>
    <w:rsid w:val="474A3B9E"/>
    <w:rsid w:val="47607845"/>
    <w:rsid w:val="47E54826"/>
    <w:rsid w:val="48213971"/>
    <w:rsid w:val="48DD6927"/>
    <w:rsid w:val="49065575"/>
    <w:rsid w:val="49137654"/>
    <w:rsid w:val="49187835"/>
    <w:rsid w:val="492B1D1E"/>
    <w:rsid w:val="49D17A6B"/>
    <w:rsid w:val="4A6E0809"/>
    <w:rsid w:val="4B18172D"/>
    <w:rsid w:val="4C196BFC"/>
    <w:rsid w:val="4C764BE5"/>
    <w:rsid w:val="4CCA13F3"/>
    <w:rsid w:val="4D3D451C"/>
    <w:rsid w:val="4E015BA3"/>
    <w:rsid w:val="4E0D09E3"/>
    <w:rsid w:val="4ED908C5"/>
    <w:rsid w:val="4F2D147F"/>
    <w:rsid w:val="4F495849"/>
    <w:rsid w:val="4F8B7E11"/>
    <w:rsid w:val="4FE92D8A"/>
    <w:rsid w:val="4FED4628"/>
    <w:rsid w:val="500656EA"/>
    <w:rsid w:val="50941BD0"/>
    <w:rsid w:val="50BE4276"/>
    <w:rsid w:val="50C85B0B"/>
    <w:rsid w:val="50EF10F8"/>
    <w:rsid w:val="51205319"/>
    <w:rsid w:val="51586419"/>
    <w:rsid w:val="517234D1"/>
    <w:rsid w:val="51BA7928"/>
    <w:rsid w:val="51F6353C"/>
    <w:rsid w:val="520B348B"/>
    <w:rsid w:val="524E5A49"/>
    <w:rsid w:val="52524077"/>
    <w:rsid w:val="529A3CEF"/>
    <w:rsid w:val="52D7336D"/>
    <w:rsid w:val="535E75EB"/>
    <w:rsid w:val="53BD14E1"/>
    <w:rsid w:val="53C11886"/>
    <w:rsid w:val="53DB6E8D"/>
    <w:rsid w:val="54CB51D4"/>
    <w:rsid w:val="54F241EB"/>
    <w:rsid w:val="54F573C5"/>
    <w:rsid w:val="550E7F93"/>
    <w:rsid w:val="556E620B"/>
    <w:rsid w:val="55B31E70"/>
    <w:rsid w:val="55F807E5"/>
    <w:rsid w:val="55FD60A0"/>
    <w:rsid w:val="562671D0"/>
    <w:rsid w:val="5636474F"/>
    <w:rsid w:val="5679252D"/>
    <w:rsid w:val="57FC7666"/>
    <w:rsid w:val="58E65620"/>
    <w:rsid w:val="593F00CE"/>
    <w:rsid w:val="5951301E"/>
    <w:rsid w:val="59F20A8D"/>
    <w:rsid w:val="59F36487"/>
    <w:rsid w:val="5A204430"/>
    <w:rsid w:val="5A700F6C"/>
    <w:rsid w:val="5B07114F"/>
    <w:rsid w:val="5B392E17"/>
    <w:rsid w:val="5B4A3759"/>
    <w:rsid w:val="5B9D3787"/>
    <w:rsid w:val="5BB3331E"/>
    <w:rsid w:val="5BC80926"/>
    <w:rsid w:val="5BEA4111"/>
    <w:rsid w:val="5C094072"/>
    <w:rsid w:val="5C8B6098"/>
    <w:rsid w:val="5CA6507F"/>
    <w:rsid w:val="5D7C613C"/>
    <w:rsid w:val="5D815265"/>
    <w:rsid w:val="5DFC5C02"/>
    <w:rsid w:val="5E196F30"/>
    <w:rsid w:val="5E7C4712"/>
    <w:rsid w:val="5F131BD1"/>
    <w:rsid w:val="5F526256"/>
    <w:rsid w:val="5F70492E"/>
    <w:rsid w:val="5F77446B"/>
    <w:rsid w:val="5F8A2976"/>
    <w:rsid w:val="606F595D"/>
    <w:rsid w:val="609852A7"/>
    <w:rsid w:val="610523E0"/>
    <w:rsid w:val="610F2D6A"/>
    <w:rsid w:val="61642270"/>
    <w:rsid w:val="61D25228"/>
    <w:rsid w:val="62166DC4"/>
    <w:rsid w:val="6344336F"/>
    <w:rsid w:val="63565B91"/>
    <w:rsid w:val="639C0E1B"/>
    <w:rsid w:val="63B95393"/>
    <w:rsid w:val="642C0F11"/>
    <w:rsid w:val="646033F8"/>
    <w:rsid w:val="64940D2B"/>
    <w:rsid w:val="64C33752"/>
    <w:rsid w:val="64F34037"/>
    <w:rsid w:val="65977E47"/>
    <w:rsid w:val="65BA6CAD"/>
    <w:rsid w:val="65DA6FA5"/>
    <w:rsid w:val="660B3A10"/>
    <w:rsid w:val="664536D5"/>
    <w:rsid w:val="668A4653"/>
    <w:rsid w:val="66DD5B37"/>
    <w:rsid w:val="670A06D1"/>
    <w:rsid w:val="672A27AA"/>
    <w:rsid w:val="6773145F"/>
    <w:rsid w:val="67D55C76"/>
    <w:rsid w:val="67F24A7A"/>
    <w:rsid w:val="682B3AD0"/>
    <w:rsid w:val="69871C8E"/>
    <w:rsid w:val="699B4C9D"/>
    <w:rsid w:val="69F35A56"/>
    <w:rsid w:val="6A3A6264"/>
    <w:rsid w:val="6A4F3648"/>
    <w:rsid w:val="6A7A0D56"/>
    <w:rsid w:val="6AAF69A5"/>
    <w:rsid w:val="6BE562D0"/>
    <w:rsid w:val="6C967015"/>
    <w:rsid w:val="6D5A49F6"/>
    <w:rsid w:val="6D6103FD"/>
    <w:rsid w:val="6D976CDD"/>
    <w:rsid w:val="6E1A6AD8"/>
    <w:rsid w:val="6E974346"/>
    <w:rsid w:val="6F6629A9"/>
    <w:rsid w:val="6FAF4FFE"/>
    <w:rsid w:val="6FE159E7"/>
    <w:rsid w:val="70403026"/>
    <w:rsid w:val="7070716A"/>
    <w:rsid w:val="709A78DB"/>
    <w:rsid w:val="714D0F73"/>
    <w:rsid w:val="7166706B"/>
    <w:rsid w:val="72892BC7"/>
    <w:rsid w:val="73F854AB"/>
    <w:rsid w:val="749667BC"/>
    <w:rsid w:val="74E76B79"/>
    <w:rsid w:val="750A7EB9"/>
    <w:rsid w:val="753733D7"/>
    <w:rsid w:val="764600B4"/>
    <w:rsid w:val="76790296"/>
    <w:rsid w:val="77770AF7"/>
    <w:rsid w:val="77E37423"/>
    <w:rsid w:val="787768D5"/>
    <w:rsid w:val="78872FBC"/>
    <w:rsid w:val="78CA1E86"/>
    <w:rsid w:val="79A91C0E"/>
    <w:rsid w:val="7A7274BD"/>
    <w:rsid w:val="7AB16063"/>
    <w:rsid w:val="7B11147F"/>
    <w:rsid w:val="7B11671B"/>
    <w:rsid w:val="7BC73807"/>
    <w:rsid w:val="7C1E59E5"/>
    <w:rsid w:val="7C246D74"/>
    <w:rsid w:val="7C480CB4"/>
    <w:rsid w:val="7C990C59"/>
    <w:rsid w:val="7CA73C2D"/>
    <w:rsid w:val="7E5B5288"/>
    <w:rsid w:val="7E6B73F0"/>
    <w:rsid w:val="7E9F23BF"/>
    <w:rsid w:val="7EB22415"/>
    <w:rsid w:val="7ED625A7"/>
    <w:rsid w:val="7EE541D9"/>
    <w:rsid w:val="7F4F5EB6"/>
    <w:rsid w:val="7FE66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7"/>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6"/>
    <w:semiHidden/>
    <w:unhideWhenUsed/>
    <w:qFormat/>
    <w:uiPriority w:val="99"/>
    <w:rPr>
      <w:sz w:val="18"/>
      <w:szCs w:val="18"/>
    </w:rPr>
  </w:style>
  <w:style w:type="paragraph" w:styleId="17">
    <w:name w:val="footer"/>
    <w:basedOn w:val="1"/>
    <w:link w:val="45"/>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4"/>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10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Normal (Web)"/>
    <w:basedOn w:val="1"/>
    <w:semiHidden/>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6">
    <w:name w:val="Title"/>
    <w:basedOn w:val="1"/>
    <w:link w:val="49"/>
    <w:qFormat/>
    <w:uiPriority w:val="0"/>
    <w:pPr>
      <w:spacing w:before="240" w:after="60"/>
      <w:jc w:val="center"/>
      <w:outlineLvl w:val="0"/>
    </w:pPr>
    <w:rPr>
      <w:rFonts w:ascii="Arial" w:hAnsi="Arial" w:cs="Arial"/>
      <w:b/>
      <w:bCs/>
      <w:sz w:val="32"/>
      <w:szCs w:val="32"/>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qFormat/>
    <w:uiPriority w:val="0"/>
    <w:rPr>
      <w:rFonts w:ascii="宋体" w:hAnsi="Times New Roman" w:eastAsia="宋体"/>
      <w:sz w:val="18"/>
    </w:rPr>
  </w:style>
  <w:style w:type="character" w:styleId="32">
    <w:name w:val="Emphasis"/>
    <w:qFormat/>
    <w:uiPriority w:val="20"/>
    <w:rPr>
      <w:i/>
      <w:iCs/>
    </w:rPr>
  </w:style>
  <w:style w:type="character" w:styleId="33">
    <w:name w:val="Hyperlink"/>
    <w:qFormat/>
    <w:uiPriority w:val="99"/>
    <w:rPr>
      <w:rFonts w:ascii="宋体" w:hAnsi="Times New Roman" w:eastAsia="宋体"/>
      <w:color w:val="auto"/>
      <w:spacing w:val="0"/>
      <w:w w:val="100"/>
      <w:position w:val="0"/>
      <w:sz w:val="21"/>
      <w:u w:val="none"/>
      <w:vertAlign w:val="baseline"/>
    </w:rPr>
  </w:style>
  <w:style w:type="character" w:styleId="34">
    <w:name w:val="footnote reference"/>
    <w:semiHidden/>
    <w:qFormat/>
    <w:uiPriority w:val="0"/>
    <w:rPr>
      <w:rFonts w:ascii="宋体" w:hAnsi="宋体" w:eastAsia="宋体" w:cs="Times New Roman"/>
      <w:spacing w:val="0"/>
      <w:sz w:val="18"/>
      <w:vertAlign w:val="superscript"/>
    </w:rPr>
  </w:style>
  <w:style w:type="character" w:customStyle="1" w:styleId="35">
    <w:name w:val="标题 1 字符"/>
    <w:link w:val="2"/>
    <w:qFormat/>
    <w:uiPriority w:val="0"/>
    <w:rPr>
      <w:b/>
      <w:bCs/>
      <w:kern w:val="44"/>
      <w:sz w:val="44"/>
      <w:szCs w:val="44"/>
    </w:rPr>
  </w:style>
  <w:style w:type="character" w:customStyle="1" w:styleId="36">
    <w:name w:val="标题 2 字符"/>
    <w:link w:val="3"/>
    <w:qFormat/>
    <w:uiPriority w:val="0"/>
    <w:rPr>
      <w:rFonts w:ascii="Arial" w:hAnsi="Arial" w:eastAsia="黑体"/>
      <w:b/>
      <w:bCs/>
      <w:kern w:val="2"/>
      <w:sz w:val="32"/>
      <w:szCs w:val="32"/>
    </w:rPr>
  </w:style>
  <w:style w:type="character" w:customStyle="1" w:styleId="37">
    <w:name w:val="标题 3 字符"/>
    <w:link w:val="4"/>
    <w:qFormat/>
    <w:uiPriority w:val="0"/>
    <w:rPr>
      <w:b/>
      <w:bCs/>
      <w:kern w:val="2"/>
      <w:sz w:val="32"/>
      <w:szCs w:val="32"/>
    </w:rPr>
  </w:style>
  <w:style w:type="character" w:customStyle="1" w:styleId="38">
    <w:name w:val="标题 4 字符"/>
    <w:link w:val="5"/>
    <w:qFormat/>
    <w:uiPriority w:val="0"/>
    <w:rPr>
      <w:rFonts w:ascii="Arial" w:hAnsi="Arial" w:eastAsia="黑体"/>
      <w:b/>
      <w:bCs/>
      <w:kern w:val="2"/>
      <w:sz w:val="28"/>
      <w:szCs w:val="28"/>
    </w:rPr>
  </w:style>
  <w:style w:type="character" w:customStyle="1" w:styleId="39">
    <w:name w:val="标题 5 字符"/>
    <w:link w:val="6"/>
    <w:qFormat/>
    <w:uiPriority w:val="0"/>
    <w:rPr>
      <w:b/>
      <w:bCs/>
      <w:kern w:val="2"/>
      <w:sz w:val="28"/>
      <w:szCs w:val="28"/>
    </w:rPr>
  </w:style>
  <w:style w:type="character" w:customStyle="1" w:styleId="40">
    <w:name w:val="标题 6 字符"/>
    <w:link w:val="7"/>
    <w:qFormat/>
    <w:uiPriority w:val="0"/>
    <w:rPr>
      <w:rFonts w:ascii="Arial" w:hAnsi="Arial" w:eastAsia="黑体"/>
      <w:b/>
      <w:bCs/>
      <w:kern w:val="2"/>
      <w:sz w:val="24"/>
      <w:szCs w:val="24"/>
    </w:rPr>
  </w:style>
  <w:style w:type="character" w:customStyle="1" w:styleId="41">
    <w:name w:val="标题 7 字符"/>
    <w:link w:val="8"/>
    <w:qFormat/>
    <w:uiPriority w:val="0"/>
    <w:rPr>
      <w:b/>
      <w:bCs/>
      <w:kern w:val="2"/>
      <w:sz w:val="24"/>
      <w:szCs w:val="24"/>
    </w:rPr>
  </w:style>
  <w:style w:type="character" w:customStyle="1" w:styleId="42">
    <w:name w:val="标题 8 字符"/>
    <w:link w:val="9"/>
    <w:qFormat/>
    <w:uiPriority w:val="0"/>
    <w:rPr>
      <w:rFonts w:ascii="Arial" w:hAnsi="Arial" w:eastAsia="黑体"/>
      <w:kern w:val="2"/>
      <w:sz w:val="24"/>
      <w:szCs w:val="24"/>
    </w:rPr>
  </w:style>
  <w:style w:type="character" w:customStyle="1" w:styleId="43">
    <w:name w:val="标题 9 字符"/>
    <w:link w:val="10"/>
    <w:qFormat/>
    <w:uiPriority w:val="0"/>
    <w:rPr>
      <w:rFonts w:ascii="Arial" w:hAnsi="Arial" w:eastAsia="黑体"/>
      <w:kern w:val="2"/>
      <w:sz w:val="21"/>
      <w:szCs w:val="21"/>
    </w:rPr>
  </w:style>
  <w:style w:type="character" w:customStyle="1" w:styleId="44">
    <w:name w:val="页眉 字符"/>
    <w:link w:val="18"/>
    <w:qFormat/>
    <w:uiPriority w:val="99"/>
    <w:rPr>
      <w:kern w:val="2"/>
      <w:sz w:val="18"/>
      <w:szCs w:val="18"/>
    </w:rPr>
  </w:style>
  <w:style w:type="character" w:customStyle="1" w:styleId="45">
    <w:name w:val="页脚 字符"/>
    <w:link w:val="17"/>
    <w:qFormat/>
    <w:uiPriority w:val="99"/>
    <w:rPr>
      <w:rFonts w:ascii="宋体"/>
      <w:kern w:val="2"/>
      <w:sz w:val="18"/>
      <w:szCs w:val="18"/>
    </w:rPr>
  </w:style>
  <w:style w:type="character" w:customStyle="1" w:styleId="46">
    <w:name w:val="批注框文本 字符"/>
    <w:link w:val="16"/>
    <w:semiHidden/>
    <w:qFormat/>
    <w:uiPriority w:val="99"/>
    <w:rPr>
      <w:kern w:val="2"/>
      <w:sz w:val="18"/>
      <w:szCs w:val="18"/>
    </w:rPr>
  </w:style>
  <w:style w:type="paragraph" w:styleId="47">
    <w:name w:val="Quote"/>
    <w:basedOn w:val="1"/>
    <w:next w:val="1"/>
    <w:link w:val="48"/>
    <w:qFormat/>
    <w:uiPriority w:val="29"/>
    <w:rPr>
      <w:i/>
      <w:iCs/>
      <w:color w:val="000000"/>
    </w:rPr>
  </w:style>
  <w:style w:type="character" w:customStyle="1" w:styleId="48">
    <w:name w:val="引用 字符"/>
    <w:link w:val="47"/>
    <w:qFormat/>
    <w:uiPriority w:val="29"/>
    <w:rPr>
      <w:i/>
      <w:iCs/>
      <w:color w:val="000000"/>
      <w:kern w:val="2"/>
      <w:sz w:val="21"/>
      <w:szCs w:val="21"/>
    </w:rPr>
  </w:style>
  <w:style w:type="character" w:customStyle="1" w:styleId="49">
    <w:name w:val="标题 字符"/>
    <w:link w:val="26"/>
    <w:qFormat/>
    <w:uiPriority w:val="0"/>
    <w:rPr>
      <w:rFonts w:ascii="Arial" w:hAnsi="Arial" w:cs="Arial"/>
      <w:b/>
      <w:bCs/>
      <w:kern w:val="2"/>
      <w:sz w:val="32"/>
      <w:szCs w:val="32"/>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qFormat/>
    <w:uiPriority w:val="0"/>
    <w:pPr>
      <w:spacing w:line="0" w:lineRule="atLeast"/>
    </w:pPr>
    <w:rPr>
      <w:rFonts w:ascii="黑体" w:hAnsi="宋体" w:eastAsia="黑体"/>
    </w:rPr>
  </w:style>
  <w:style w:type="paragraph" w:customStyle="1" w:styleId="56">
    <w:name w:val="标准文件_标准正文"/>
    <w:basedOn w:val="1"/>
    <w:next w:val="57"/>
    <w:qFormat/>
    <w:uiPriority w:val="0"/>
    <w:pPr>
      <w:snapToGrid w:val="0"/>
      <w:ind w:firstLine="200" w:firstLineChars="200"/>
    </w:pPr>
    <w:rPr>
      <w:kern w:val="0"/>
    </w:rPr>
  </w:style>
  <w:style w:type="paragraph" w:customStyle="1" w:styleId="57">
    <w:name w:val="标准文件_段"/>
    <w:link w:val="18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qFormat/>
    <w:uiPriority w:val="0"/>
    <w:pPr>
      <w:adjustRightInd/>
      <w:snapToGrid/>
      <w:ind w:firstLine="0" w:firstLineChars="0"/>
    </w:pPr>
    <w:rPr>
      <w:rFonts w:ascii="宋体" w:hAnsi="宋体"/>
      <w:kern w:val="2"/>
    </w:rPr>
  </w:style>
  <w:style w:type="paragraph" w:customStyle="1" w:styleId="59">
    <w:name w:val="标准文件_标准部门"/>
    <w:basedOn w:val="1"/>
    <w:qFormat/>
    <w:uiPriority w:val="0"/>
    <w:pPr>
      <w:jc w:val="center"/>
    </w:pPr>
    <w:rPr>
      <w:rFonts w:ascii="黑体" w:eastAsia="黑体"/>
      <w:kern w:val="0"/>
      <w:sz w:val="44"/>
    </w:rPr>
  </w:style>
  <w:style w:type="paragraph" w:customStyle="1" w:styleId="60">
    <w:name w:val="标准文件_标准代替"/>
    <w:basedOn w:val="1"/>
    <w:next w:val="1"/>
    <w:qFormat/>
    <w:uiPriority w:val="0"/>
    <w:pPr>
      <w:spacing w:line="310" w:lineRule="exact"/>
      <w:jc w:val="right"/>
    </w:pPr>
    <w:rPr>
      <w:rFonts w:ascii="宋体" w:hAnsi="宋体"/>
      <w:kern w:val="0"/>
    </w:rPr>
  </w:style>
  <w:style w:type="paragraph" w:customStyle="1" w:styleId="6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qFormat/>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qFormat/>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qFormat/>
    <w:uiPriority w:val="0"/>
    <w:rPr>
      <w:rFonts w:ascii="黑体" w:eastAsia="黑体"/>
      <w:b/>
      <w:kern w:val="0"/>
      <w:sz w:val="28"/>
    </w:rPr>
  </w:style>
  <w:style w:type="paragraph" w:customStyle="1" w:styleId="71">
    <w:name w:val="标准文件_封面标准名称"/>
    <w:basedOn w:val="1"/>
    <w:qFormat/>
    <w:uiPriority w:val="0"/>
    <w:pPr>
      <w:spacing w:line="240" w:lineRule="auto"/>
      <w:jc w:val="center"/>
    </w:pPr>
    <w:rPr>
      <w:rFonts w:ascii="黑体" w:eastAsia="黑体"/>
      <w:kern w:val="0"/>
      <w:sz w:val="52"/>
    </w:rPr>
  </w:style>
  <w:style w:type="paragraph" w:customStyle="1" w:styleId="72">
    <w:name w:val="标准文件_封面标准英文名称"/>
    <w:basedOn w:val="1"/>
    <w:qFormat/>
    <w:uiPriority w:val="0"/>
    <w:pPr>
      <w:spacing w:line="240" w:lineRule="auto"/>
      <w:jc w:val="center"/>
    </w:pPr>
    <w:rPr>
      <w:rFonts w:ascii="黑体" w:eastAsia="黑体"/>
      <w:b/>
      <w:sz w:val="28"/>
    </w:rPr>
  </w:style>
  <w:style w:type="paragraph" w:customStyle="1" w:styleId="73">
    <w:name w:val="标准文件_封面发布日期"/>
    <w:basedOn w:val="1"/>
    <w:qFormat/>
    <w:uiPriority w:val="0"/>
    <w:pPr>
      <w:spacing w:line="310" w:lineRule="exact"/>
    </w:pPr>
    <w:rPr>
      <w:rFonts w:ascii="黑体" w:eastAsia="黑体"/>
      <w:kern w:val="0"/>
      <w:sz w:val="28"/>
    </w:rPr>
  </w:style>
  <w:style w:type="paragraph" w:customStyle="1" w:styleId="74">
    <w:name w:val="标准文件_封面密级"/>
    <w:basedOn w:val="1"/>
    <w:qFormat/>
    <w:uiPriority w:val="0"/>
    <w:rPr>
      <w:rFonts w:eastAsia="黑体"/>
      <w:sz w:val="32"/>
    </w:rPr>
  </w:style>
  <w:style w:type="paragraph" w:customStyle="1" w:styleId="75">
    <w:name w:val="标准文件_封面实施日期"/>
    <w:basedOn w:val="1"/>
    <w:qFormat/>
    <w:uiPriority w:val="0"/>
    <w:pPr>
      <w:spacing w:line="310" w:lineRule="exact"/>
      <w:jc w:val="right"/>
    </w:pPr>
    <w:rPr>
      <w:rFonts w:ascii="黑体" w:eastAsia="黑体"/>
      <w:sz w:val="28"/>
    </w:rPr>
  </w:style>
  <w:style w:type="paragraph" w:customStyle="1" w:styleId="76">
    <w:name w:val="标准文件_封面抬头"/>
    <w:basedOn w:val="57"/>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字符"/>
    <w:link w:val="13"/>
    <w:qFormat/>
    <w:uiPriority w:val="0"/>
    <w:rPr>
      <w:kern w:val="2"/>
      <w:sz w:val="21"/>
      <w:szCs w:val="21"/>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qFormat/>
    <w:uiPriority w:val="0"/>
    <w:pPr>
      <w:ind w:left="488" w:leftChars="200" w:hanging="289" w:hangingChars="290"/>
    </w:pPr>
  </w:style>
  <w:style w:type="paragraph" w:customStyle="1" w:styleId="90">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ind w:left="0" w:firstLine="0"/>
    </w:pPr>
  </w:style>
  <w:style w:type="paragraph" w:customStyle="1" w:styleId="92">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3">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qFormat/>
    <w:uiPriority w:val="0"/>
    <w:pPr>
      <w:numPr>
        <w:numId w:val="10"/>
      </w:numPr>
    </w:pPr>
  </w:style>
  <w:style w:type="paragraph" w:customStyle="1" w:styleId="95">
    <w:name w:val="标准文件_三级条标题"/>
    <w:basedOn w:val="66"/>
    <w:next w:val="57"/>
    <w:qFormat/>
    <w:uiPriority w:val="0"/>
    <w:pPr>
      <w:widowControl/>
      <w:numPr>
        <w:ilvl w:val="4"/>
      </w:numPr>
      <w:outlineLvl w:val="3"/>
    </w:pPr>
  </w:style>
  <w:style w:type="character" w:customStyle="1" w:styleId="96">
    <w:name w:val="不明显参考1"/>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字符"/>
    <w:link w:val="21"/>
    <w:semiHidden/>
    <w:qFormat/>
    <w:uiPriority w:val="0"/>
    <w:rPr>
      <w:rFonts w:ascii="宋体"/>
      <w:kern w:val="2"/>
      <w:sz w:val="18"/>
      <w:szCs w:val="18"/>
    </w:rPr>
  </w:style>
  <w:style w:type="paragraph" w:customStyle="1" w:styleId="101">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qFormat/>
    <w:uiPriority w:val="0"/>
    <w:pPr>
      <w:numPr>
        <w:ilvl w:val="0"/>
        <w:numId w:val="12"/>
      </w:numPr>
      <w:spacing w:line="240" w:lineRule="auto"/>
      <w:jc w:val="left"/>
    </w:pPr>
    <w:rPr>
      <w:rFonts w:ascii="宋体" w:hAnsi="宋体"/>
      <w:sz w:val="18"/>
    </w:rPr>
  </w:style>
  <w:style w:type="character" w:customStyle="1" w:styleId="103">
    <w:name w:val="标准文件_图表脚注内容"/>
    <w:qFormat/>
    <w:uiPriority w:val="0"/>
    <w:rPr>
      <w:rFonts w:ascii="宋体" w:hAnsi="宋体" w:eastAsia="宋体" w:cs="Times New Roman"/>
      <w:spacing w:val="0"/>
      <w:sz w:val="18"/>
      <w:vertAlign w:val="superscript"/>
    </w:rPr>
  </w:style>
  <w:style w:type="paragraph" w:customStyle="1" w:styleId="104">
    <w:name w:val="标准文件_五级条标题"/>
    <w:next w:val="57"/>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qFormat/>
    <w:uiPriority w:val="0"/>
    <w:pPr>
      <w:numPr>
        <w:ilvl w:val="2"/>
      </w:numPr>
      <w:spacing w:before="50" w:beforeLines="50" w:after="50" w:afterLines="50"/>
      <w:outlineLvl w:val="1"/>
    </w:pPr>
  </w:style>
  <w:style w:type="paragraph" w:customStyle="1" w:styleId="107">
    <w:name w:val="标准文件_一致程度"/>
    <w:basedOn w:val="1"/>
    <w:qFormat/>
    <w:uiPriority w:val="0"/>
    <w:pPr>
      <w:spacing w:line="440" w:lineRule="exact"/>
      <w:jc w:val="center"/>
    </w:pPr>
    <w:rPr>
      <w:sz w:val="28"/>
    </w:rPr>
  </w:style>
  <w:style w:type="paragraph" w:customStyle="1" w:styleId="10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qFormat/>
    <w:uiPriority w:val="0"/>
    <w:pPr>
      <w:outlineLvl w:val="4"/>
    </w:pPr>
  </w:style>
  <w:style w:type="paragraph" w:customStyle="1" w:styleId="131">
    <w:name w:val="附录四级无标题条"/>
    <w:basedOn w:val="130"/>
    <w:next w:val="57"/>
    <w:qFormat/>
    <w:uiPriority w:val="0"/>
    <w:pPr>
      <w:outlineLvl w:val="5"/>
    </w:pPr>
  </w:style>
  <w:style w:type="paragraph" w:customStyle="1" w:styleId="132">
    <w:name w:val="附录图"/>
    <w:next w:val="57"/>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qFormat/>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qFormat/>
    <w:uiPriority w:val="0"/>
    <w:rPr>
      <w:rFonts w:ascii="Arial" w:hAnsi="Arial" w:eastAsia="宋体" w:cs="Arial"/>
      <w:color w:val="auto"/>
      <w:spacing w:val="0"/>
      <w:sz w:val="20"/>
    </w:rPr>
  </w:style>
  <w:style w:type="character" w:customStyle="1" w:styleId="138">
    <w:name w:val="个人撰写风格"/>
    <w:qFormat/>
    <w:uiPriority w:val="0"/>
    <w:rPr>
      <w:rFonts w:ascii="Arial" w:hAnsi="Arial" w:eastAsia="宋体" w:cs="Arial"/>
      <w:color w:val="auto"/>
      <w:spacing w:val="0"/>
      <w:sz w:val="20"/>
    </w:rPr>
  </w:style>
  <w:style w:type="paragraph" w:customStyle="1" w:styleId="13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qFormat/>
    <w:uiPriority w:val="0"/>
    <w:pPr>
      <w:tabs>
        <w:tab w:val="left" w:pos="840"/>
      </w:tabs>
    </w:pPr>
  </w:style>
  <w:style w:type="paragraph" w:customStyle="1" w:styleId="14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autoRedefine/>
    <w:semiHidden/>
    <w:qFormat/>
    <w:uiPriority w:val="0"/>
    <w:pPr>
      <w:adjustRightInd/>
      <w:spacing w:line="240" w:lineRule="auto"/>
      <w:jc w:val="left"/>
    </w:pPr>
    <w:rPr>
      <w:bCs/>
      <w:iCs/>
    </w:rPr>
  </w:style>
  <w:style w:type="paragraph" w:customStyle="1" w:styleId="144">
    <w:name w:val="目录 31"/>
    <w:basedOn w:val="1"/>
    <w:next w:val="1"/>
    <w:autoRedefine/>
    <w:semiHidden/>
    <w:qFormat/>
    <w:uiPriority w:val="0"/>
    <w:pPr>
      <w:spacing w:line="240" w:lineRule="auto"/>
    </w:pPr>
    <w:rPr>
      <w:rFonts w:ascii="宋体" w:hAnsi="宋体"/>
      <w:iCs/>
    </w:rPr>
  </w:style>
  <w:style w:type="paragraph" w:customStyle="1" w:styleId="145">
    <w:name w:val="目录 41"/>
    <w:basedOn w:val="1"/>
    <w:next w:val="1"/>
    <w:autoRedefine/>
    <w:semiHidden/>
    <w:qFormat/>
    <w:uiPriority w:val="0"/>
    <w:pPr>
      <w:adjustRightInd/>
      <w:spacing w:line="240" w:lineRule="auto"/>
      <w:jc w:val="left"/>
    </w:pPr>
  </w:style>
  <w:style w:type="paragraph" w:customStyle="1" w:styleId="146">
    <w:name w:val="目录 51"/>
    <w:basedOn w:val="1"/>
    <w:next w:val="1"/>
    <w:autoRedefine/>
    <w:semiHidden/>
    <w:qFormat/>
    <w:uiPriority w:val="0"/>
    <w:pPr>
      <w:spacing w:line="240" w:lineRule="auto"/>
    </w:pPr>
    <w:rPr>
      <w:rFonts w:ascii="宋体" w:hAnsi="宋体"/>
    </w:rPr>
  </w:style>
  <w:style w:type="paragraph" w:customStyle="1" w:styleId="147">
    <w:name w:val="目录 61"/>
    <w:basedOn w:val="1"/>
    <w:next w:val="1"/>
    <w:autoRedefine/>
    <w:semiHidden/>
    <w:qFormat/>
    <w:uiPriority w:val="0"/>
    <w:pPr>
      <w:adjustRightInd/>
      <w:spacing w:line="240" w:lineRule="auto"/>
      <w:jc w:val="left"/>
    </w:pPr>
  </w:style>
  <w:style w:type="paragraph" w:customStyle="1" w:styleId="148">
    <w:name w:val="目录 71"/>
    <w:basedOn w:val="147"/>
    <w:autoRedefine/>
    <w:semiHidden/>
    <w:qFormat/>
    <w:uiPriority w:val="0"/>
    <w:pPr>
      <w:ind w:left="1260"/>
    </w:pPr>
  </w:style>
  <w:style w:type="paragraph" w:customStyle="1" w:styleId="149">
    <w:name w:val="目录 81"/>
    <w:basedOn w:val="148"/>
    <w:autoRedefine/>
    <w:semiHidden/>
    <w:qFormat/>
    <w:uiPriority w:val="0"/>
    <w:pPr>
      <w:ind w:left="1470"/>
    </w:pPr>
  </w:style>
  <w:style w:type="paragraph" w:customStyle="1" w:styleId="150">
    <w:name w:val="目录 91"/>
    <w:basedOn w:val="149"/>
    <w:autoRedefine/>
    <w:semiHidden/>
    <w:qFormat/>
    <w:uiPriority w:val="0"/>
    <w:pPr>
      <w:ind w:left="1680"/>
    </w:pPr>
  </w:style>
  <w:style w:type="paragraph" w:customStyle="1" w:styleId="15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qFormat/>
    <w:uiPriority w:val="0"/>
    <w:pPr>
      <w:framePr w:wrap="around"/>
      <w:spacing w:line="0" w:lineRule="atLeast"/>
    </w:pPr>
    <w:rPr>
      <w:rFonts w:ascii="黑体" w:eastAsia="黑体"/>
      <w:b w:val="0"/>
    </w:rPr>
  </w:style>
  <w:style w:type="paragraph" w:customStyle="1" w:styleId="15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5">
    <w:name w:val="实施日期"/>
    <w:basedOn w:val="121"/>
    <w:qFormat/>
    <w:uiPriority w:val="0"/>
    <w:pPr>
      <w:framePr w:hSpace="0" w:wrap="around" w:xAlign="right"/>
      <w:jc w:val="right"/>
    </w:pPr>
  </w:style>
  <w:style w:type="paragraph" w:customStyle="1" w:styleId="15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qFormat/>
    <w:uiPriority w:val="0"/>
    <w:pPr>
      <w:numPr>
        <w:ilvl w:val="6"/>
        <w:numId w:val="20"/>
      </w:numPr>
      <w:adjustRightInd/>
    </w:pPr>
    <w:rPr>
      <w:szCs w:val="24"/>
    </w:rPr>
  </w:style>
  <w:style w:type="paragraph" w:customStyle="1" w:styleId="16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qFormat/>
    <w:uiPriority w:val="0"/>
    <w:pPr>
      <w:ind w:left="1406" w:leftChars="0" w:hanging="499" w:firstLineChars="0"/>
    </w:pPr>
  </w:style>
  <w:style w:type="paragraph" w:customStyle="1" w:styleId="163">
    <w:name w:val="标准文件_一级无标题"/>
    <w:basedOn w:val="106"/>
    <w:qFormat/>
    <w:uiPriority w:val="0"/>
    <w:pPr>
      <w:spacing w:before="0" w:beforeLines="0" w:after="0" w:afterLines="0"/>
      <w:outlineLvl w:val="9"/>
    </w:pPr>
    <w:rPr>
      <w:rFonts w:ascii="宋体" w:eastAsia="宋体"/>
    </w:rPr>
  </w:style>
  <w:style w:type="paragraph" w:customStyle="1" w:styleId="164">
    <w:name w:val="标准文件_五级无标题"/>
    <w:basedOn w:val="104"/>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qFormat/>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qFormat/>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qFormat/>
    <w:uiPriority w:val="0"/>
    <w:rPr>
      <w:rFonts w:ascii="宋体" w:hAnsi="Times New Roman" w:eastAsia="宋体" w:cs="Times New Roman"/>
      <w:sz w:val="21"/>
      <w:lang w:val="en-US" w:eastAsia="zh-CN" w:bidi="ar-SA"/>
    </w:rPr>
  </w:style>
  <w:style w:type="paragraph" w:customStyle="1" w:styleId="173">
    <w:name w:val="标准文件_三级项"/>
    <w:basedOn w:val="1"/>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qFormat/>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qFormat/>
    <w:uiPriority w:val="0"/>
    <w:rPr>
      <w:rFonts w:ascii="宋体" w:hAnsi="Times New Roman"/>
      <w:sz w:val="21"/>
    </w:rPr>
  </w:style>
  <w:style w:type="paragraph" w:customStyle="1" w:styleId="186">
    <w:name w:val="标准文件_表格续"/>
    <w:basedOn w:val="57"/>
    <w:next w:val="57"/>
    <w:qFormat/>
    <w:uiPriority w:val="0"/>
    <w:pPr>
      <w:jc w:val="center"/>
    </w:pPr>
    <w:rPr>
      <w:rFonts w:ascii="黑体" w:hAnsi="黑体" w:eastAsia="黑体"/>
    </w:rPr>
  </w:style>
  <w:style w:type="character" w:styleId="187">
    <w:name w:val="Placeholder Text"/>
    <w:basedOn w:val="29"/>
    <w:semiHidden/>
    <w:qFormat/>
    <w:uiPriority w:val="99"/>
    <w:rPr>
      <w:color w:val="808080"/>
    </w:rPr>
  </w:style>
  <w:style w:type="paragraph" w:customStyle="1" w:styleId="188">
    <w:name w:val="标准文件_二级项2"/>
    <w:basedOn w:val="57"/>
    <w:qFormat/>
    <w:uiPriority w:val="0"/>
    <w:pPr>
      <w:numPr>
        <w:ilvl w:val="1"/>
        <w:numId w:val="21"/>
      </w:numPr>
      <w:ind w:firstLine="0" w:firstLineChars="0"/>
    </w:pPr>
  </w:style>
  <w:style w:type="paragraph" w:customStyle="1" w:styleId="189">
    <w:name w:val="标准文件_三级项2"/>
    <w:basedOn w:val="57"/>
    <w:qFormat/>
    <w:uiPriority w:val="0"/>
    <w:pPr>
      <w:numPr>
        <w:ilvl w:val="0"/>
        <w:numId w:val="30"/>
      </w:numPr>
      <w:spacing w:line="300" w:lineRule="exact"/>
      <w:ind w:firstLineChars="0"/>
    </w:pPr>
    <w:rPr>
      <w:rFonts w:ascii="Times New Roman"/>
    </w:rPr>
  </w:style>
  <w:style w:type="paragraph" w:customStyle="1" w:styleId="190">
    <w:name w:val="标准文件_一级项2"/>
    <w:basedOn w:val="57"/>
    <w:qFormat/>
    <w:uiPriority w:val="0"/>
    <w:pPr>
      <w:numPr>
        <w:ilvl w:val="0"/>
        <w:numId w:val="31"/>
      </w:numPr>
      <w:spacing w:line="300" w:lineRule="exact"/>
      <w:ind w:firstLineChars="0"/>
    </w:pPr>
    <w:rPr>
      <w:rFonts w:ascii="Times New Roman"/>
    </w:r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9"/>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qFormat/>
    <w:uiPriority w:val="0"/>
    <w:pPr>
      <w:framePr w:w="3997" w:h="471" w:hRule="exact" w:hSpace="0" w:vSpace="181" w:wrap="around" w:vAnchor="page" w:hAnchor="page" w:x="1419" w:y="14097"/>
    </w:pPr>
  </w:style>
  <w:style w:type="paragraph" w:customStyle="1" w:styleId="195">
    <w:name w:val="其他实施日期"/>
    <w:basedOn w:val="155"/>
    <w:qFormat/>
    <w:uiPriority w:val="0"/>
    <w:pPr>
      <w:framePr w:w="3997" w:h="471" w:hRule="exact" w:vSpace="181" w:wrap="around" w:vAnchor="page" w:hAnchor="page" w:x="7089" w:y="14097"/>
    </w:pPr>
  </w:style>
  <w:style w:type="paragraph" w:customStyle="1" w:styleId="196">
    <w:name w:val="标准文件_文件编号"/>
    <w:basedOn w:val="5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spacing w:before="57"/>
    </w:pPr>
    <w:rPr>
      <w:sz w:val="21"/>
    </w:rPr>
  </w:style>
  <w:style w:type="paragraph" w:customStyle="1" w:styleId="198">
    <w:name w:val="标准文件_文件名称"/>
    <w:basedOn w:val="57"/>
    <w:next w:val="5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qFormat/>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qFormat/>
    <w:uiPriority w:val="0"/>
    <w:pPr>
      <w:spacing w:before="0" w:beforeLines="0" w:after="0" w:afterLines="0" w:line="276" w:lineRule="auto"/>
    </w:pPr>
    <w:rPr>
      <w:rFonts w:ascii="宋体" w:eastAsia="宋体"/>
    </w:rPr>
  </w:style>
  <w:style w:type="paragraph" w:customStyle="1" w:styleId="219">
    <w:name w:val="标准文件_引言三级无标题"/>
    <w:basedOn w:val="203"/>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qFormat/>
    <w:uiPriority w:val="0"/>
    <w:rPr>
      <w:rFonts w:ascii="黑体" w:eastAsia="黑体"/>
      <w:spacing w:val="85"/>
      <w:w w:val="100"/>
      <w:position w:val="3"/>
      <w:sz w:val="28"/>
      <w:szCs w:val="28"/>
    </w:rPr>
  </w:style>
  <w:style w:type="paragraph" w:customStyle="1" w:styleId="231">
    <w:name w:val="段"/>
    <w:basedOn w:val="1"/>
    <w:qFormat/>
    <w:uiPriority w:val="0"/>
    <w:pPr>
      <w:widowControl/>
      <w:autoSpaceDE w:val="0"/>
      <w:autoSpaceDN w:val="0"/>
      <w:adjustRightInd/>
      <w:spacing w:line="240" w:lineRule="auto"/>
      <w:ind w:firstLine="420" w:firstLineChars="200"/>
    </w:pPr>
    <w:rPr>
      <w:rFonts w:ascii="宋体" w:hAnsi="Times New Roman"/>
      <w:kern w:val="0"/>
    </w:rPr>
  </w:style>
  <w:style w:type="paragraph" w:customStyle="1" w:styleId="232">
    <w:name w:val="附录表标题"/>
    <w:basedOn w:val="1"/>
    <w:next w:val="1"/>
    <w:qFormat/>
    <w:uiPriority w:val="0"/>
    <w:pPr>
      <w:adjustRightInd/>
      <w:spacing w:beforeLines="50" w:afterLines="50" w:line="240" w:lineRule="auto"/>
      <w:jc w:val="center"/>
    </w:pPr>
    <w:rPr>
      <w:rFonts w:ascii="黑体" w:hAnsi="Times New Roman" w:eastAsia="黑体"/>
    </w:rPr>
  </w:style>
  <w:style w:type="character" w:customStyle="1" w:styleId="233">
    <w:name w:val="font21"/>
    <w:basedOn w:val="29"/>
    <w:qFormat/>
    <w:uiPriority w:val="0"/>
    <w:rPr>
      <w:rFonts w:hint="eastAsia" w:ascii="宋体" w:hAnsi="宋体" w:eastAsia="宋体" w:cs="宋体"/>
      <w:color w:val="000000"/>
      <w:sz w:val="23"/>
      <w:szCs w:val="23"/>
      <w:u w:val="none"/>
    </w:rPr>
  </w:style>
  <w:style w:type="character" w:customStyle="1" w:styleId="234">
    <w:name w:val="font31"/>
    <w:basedOn w:val="29"/>
    <w:qFormat/>
    <w:uiPriority w:val="0"/>
    <w:rPr>
      <w:rFonts w:hint="eastAsia" w:ascii="宋体" w:hAnsi="宋体" w:eastAsia="宋体" w:cs="宋体"/>
      <w:b/>
      <w:bCs/>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glossaryDocument" Target="glossary/document.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267CFD435BE4AA68B415BDA9DE247D9"/>
        <w:style w:val=""/>
        <w:category>
          <w:name w:val="常规"/>
          <w:gallery w:val="placeholder"/>
        </w:category>
        <w:types>
          <w:type w:val="bbPlcHdr"/>
        </w:types>
        <w:behaviors>
          <w:behavior w:val="content"/>
        </w:behaviors>
        <w:description w:val=""/>
        <w:guid w:val="{4D5E6766-D730-48EA-80B1-EB1F936F81C1}"/>
      </w:docPartPr>
      <w:docPartBody>
        <w:p w14:paraId="27B81FFB">
          <w:pPr>
            <w:pStyle w:val="5"/>
            <w:rPr>
              <w:rFonts w:hint="eastAsia"/>
            </w:rPr>
          </w:pPr>
          <w:r>
            <w:rPr>
              <w:rStyle w:val="4"/>
              <w:rFonts w:hint="eastAsia"/>
            </w:rPr>
            <w:t>单击或点击此处输入文字。</w:t>
          </w:r>
        </w:p>
      </w:docPartBody>
    </w:docPart>
    <w:docPart>
      <w:docPartPr>
        <w:name w:val="D3C417C1D3CB4678A1E3719987D013A8"/>
        <w:style w:val=""/>
        <w:category>
          <w:name w:val="常规"/>
          <w:gallery w:val="placeholder"/>
        </w:category>
        <w:types>
          <w:type w:val="bbPlcHdr"/>
        </w:types>
        <w:behaviors>
          <w:behavior w:val="content"/>
        </w:behaviors>
        <w:description w:val=""/>
        <w:guid w:val="{D3A7AA9D-DD5E-4D79-B9B1-465F42208D6C}"/>
      </w:docPartPr>
      <w:docPartBody>
        <w:p w14:paraId="2C6E6461">
          <w:pPr>
            <w:pStyle w:val="6"/>
            <w:rPr>
              <w:rFonts w:hint="eastAsia"/>
            </w:rPr>
          </w:pPr>
          <w:r>
            <w:rPr>
              <w:rStyle w:val="4"/>
              <w:rFonts w:hint="eastAsia"/>
            </w:rPr>
            <w:t>选择一项。</w:t>
          </w:r>
        </w:p>
      </w:docPartBody>
    </w:docPart>
    <w:docPart>
      <w:docPartPr>
        <w:name w:val="151627FADCB948BCA127F051A6C6700D"/>
        <w:style w:val=""/>
        <w:category>
          <w:name w:val="常规"/>
          <w:gallery w:val="placeholder"/>
        </w:category>
        <w:types>
          <w:type w:val="bbPlcHdr"/>
        </w:types>
        <w:behaviors>
          <w:behavior w:val="content"/>
        </w:behaviors>
        <w:description w:val=""/>
        <w:guid w:val="{69BCE50C-4435-48E7-A086-BC8D19370AB8}"/>
      </w:docPartPr>
      <w:docPartBody>
        <w:p w14:paraId="6F83264C">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3FE"/>
    <w:rsid w:val="00006855"/>
    <w:rsid w:val="000533FE"/>
    <w:rsid w:val="00150AC6"/>
    <w:rsid w:val="001876F5"/>
    <w:rsid w:val="00472DD2"/>
    <w:rsid w:val="004F4C48"/>
    <w:rsid w:val="00537D52"/>
    <w:rsid w:val="007F6275"/>
    <w:rsid w:val="00E150D9"/>
    <w:rsid w:val="00F03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9267CFD435BE4AA68B415BDA9DE247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D3C417C1D3CB4678A1E3719987D013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151627FADCB948BCA127F051A6C6700D"/>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7CEC62-541E-492D-8C24-05B25E440E3A}">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44</Pages>
  <Words>2913</Words>
  <Characters>3355</Characters>
  <Lines>634</Lines>
  <Paragraphs>729</Paragraphs>
  <TotalTime>0</TotalTime>
  <ScaleCrop>false</ScaleCrop>
  <LinksUpToDate>false</LinksUpToDate>
  <CharactersWithSpaces>3568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2025-11-29T04:25:00Z</dcterms:created>
  <dc:creator>郝鹏慧</dc:creator>
  <dc:description>&lt;config cover="true" show_menu="true" version="1.0.0" doctype="SDKXY"&gt;_x000d_
&lt;/config&gt;</dc:description>
  <cp:lastModifiedBy>郝鹏慧</cp:lastModifiedBy>
  <cp:lastPrinted>2026-01-09T05:23:00Z</cp:lastPrinted>
  <dcterms:modified xsi:type="dcterms:W3CDTF">2026-01-28T03:11:45Z</dcterms:modified>
  <dc:title>团体标准</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eyJoZGlkIjoiMGE3Nzg2NDhhODcyNDFhOGZkZjM3N2NmYjQyODM0YjciLCJ1c2VySWQiOiIxMDI1NzgyMjYwIn0=</vt:lpwstr>
  </property>
  <property fmtid="{D5CDD505-2E9C-101B-9397-08002B2CF9AE}" pid="15" name="KSOProductBuildVer">
    <vt:lpwstr>2052-12.1.0.24657</vt:lpwstr>
  </property>
  <property fmtid="{D5CDD505-2E9C-101B-9397-08002B2CF9AE}" pid="16" name="ICV">
    <vt:lpwstr>301349ACE31F4372B659AFADD68812E8_13</vt:lpwstr>
  </property>
</Properties>
</file>